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8740" w14:textId="200D8515" w:rsidR="0019780D" w:rsidRPr="00ED2AB5" w:rsidRDefault="00F37DE7" w:rsidP="00ED2AB5">
      <w:pPr>
        <w:pStyle w:val="Body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Signe Riisalo</w:t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</w:p>
    <w:p w14:paraId="6CA565AF" w14:textId="61C991E3" w:rsidR="0019780D" w:rsidRPr="00ED2AB5" w:rsidRDefault="00F37DE7" w:rsidP="00ED2AB5">
      <w:pPr>
        <w:pStyle w:val="Body"/>
        <w:jc w:val="both"/>
        <w:rPr>
          <w:rFonts w:cs="Times New Roman"/>
          <w:bCs/>
          <w:color w:val="auto"/>
        </w:rPr>
      </w:pPr>
      <w:r>
        <w:rPr>
          <w:rFonts w:cs="Times New Roman"/>
        </w:rPr>
        <w:t>Esimees</w:t>
      </w:r>
      <w:r w:rsidR="0019780D" w:rsidRPr="00ED2AB5">
        <w:rPr>
          <w:rFonts w:cs="Times New Roman"/>
          <w:b/>
          <w:bCs/>
        </w:rPr>
        <w:t xml:space="preserve">                                                     </w:t>
      </w:r>
      <w:r w:rsidR="002455B0">
        <w:rPr>
          <w:rFonts w:cs="Times New Roman"/>
          <w:b/>
          <w:bCs/>
        </w:rPr>
        <w:t xml:space="preserve">                                           </w:t>
      </w:r>
      <w:r w:rsidR="007D6626">
        <w:rPr>
          <w:rFonts w:cs="Times New Roman"/>
          <w:b/>
          <w:bCs/>
        </w:rPr>
        <w:t xml:space="preserve">     </w:t>
      </w:r>
      <w:r w:rsidR="00834F46">
        <w:rPr>
          <w:rFonts w:eastAsia="Times New Roman" w:cs="Times New Roman"/>
          <w:bCs/>
        </w:rPr>
        <w:t>01.04.2026</w:t>
      </w:r>
      <w:r w:rsidR="00834F46" w:rsidRPr="00ED2AB5">
        <w:rPr>
          <w:rFonts w:eastAsia="Times New Roman" w:cs="Times New Roman"/>
          <w:bCs/>
        </w:rPr>
        <w:t xml:space="preserve"> nr 1-8/2</w:t>
      </w:r>
      <w:r w:rsidR="00834F46">
        <w:rPr>
          <w:rFonts w:eastAsia="Times New Roman" w:cs="Times New Roman"/>
          <w:bCs/>
        </w:rPr>
        <w:t>6</w:t>
      </w:r>
      <w:r w:rsidR="00834F46" w:rsidRPr="00ED2AB5">
        <w:rPr>
          <w:rFonts w:eastAsia="Times New Roman" w:cs="Times New Roman"/>
          <w:bCs/>
        </w:rPr>
        <w:t>/</w:t>
      </w:r>
      <w:r w:rsidR="007D6626">
        <w:rPr>
          <w:rFonts w:eastAsia="Times New Roman" w:cs="Times New Roman"/>
          <w:bCs/>
        </w:rPr>
        <w:t>41</w:t>
      </w:r>
    </w:p>
    <w:p w14:paraId="203AD6B3" w14:textId="700E9613" w:rsidR="0019780D" w:rsidRPr="00ED2AB5" w:rsidRDefault="00F37DE7" w:rsidP="00ED2AB5">
      <w:pPr>
        <w:pStyle w:val="Body"/>
        <w:jc w:val="both"/>
        <w:rPr>
          <w:rFonts w:eastAsia="Times New Roman" w:cs="Times New Roman"/>
          <w:bCs/>
        </w:rPr>
      </w:pPr>
      <w:r>
        <w:rPr>
          <w:rFonts w:cs="Times New Roman"/>
        </w:rPr>
        <w:t>Riigikogu sotsiaalkomisjon</w:t>
      </w:r>
      <w:r w:rsidR="0019780D" w:rsidRPr="00ED2AB5">
        <w:rPr>
          <w:rFonts w:cs="Times New Roman"/>
        </w:rPr>
        <w:t xml:space="preserve">                         </w:t>
      </w:r>
    </w:p>
    <w:p w14:paraId="3F30D34B" w14:textId="04FB4FCF" w:rsidR="0019780D" w:rsidRPr="00ED2AB5" w:rsidRDefault="00F37DE7" w:rsidP="00ED2AB5">
      <w:pPr>
        <w:pStyle w:val="Body"/>
        <w:jc w:val="both"/>
        <w:rPr>
          <w:rFonts w:cs="Times New Roman"/>
        </w:rPr>
      </w:pPr>
      <w:r>
        <w:rPr>
          <w:rFonts w:cs="Times New Roman"/>
        </w:rPr>
        <w:t>sotsiaalkomisjon</w:t>
      </w:r>
      <w:r w:rsidR="002455B0">
        <w:rPr>
          <w:rFonts w:cs="Times New Roman"/>
        </w:rPr>
        <w:t>@riigikogu.ee</w:t>
      </w:r>
    </w:p>
    <w:p w14:paraId="4F26BD09" w14:textId="77777777" w:rsidR="0019780D" w:rsidRDefault="0019780D" w:rsidP="00ED2AB5">
      <w:pPr>
        <w:widowControl/>
        <w:suppressAutoHyphens w:val="0"/>
        <w:jc w:val="both"/>
        <w:rPr>
          <w:color w:val="auto"/>
          <w:szCs w:val="24"/>
        </w:rPr>
      </w:pPr>
    </w:p>
    <w:p w14:paraId="48999CF0" w14:textId="77777777" w:rsidR="00BE7258" w:rsidRDefault="00BE7258" w:rsidP="00ED2AB5">
      <w:pPr>
        <w:widowControl/>
        <w:suppressAutoHyphens w:val="0"/>
        <w:jc w:val="both"/>
      </w:pPr>
      <w:r w:rsidRPr="000425EE">
        <w:t>Majandus- ja Kommunikatsiooniministeerium</w:t>
      </w:r>
    </w:p>
    <w:p w14:paraId="4C833B1C" w14:textId="2975BC4D" w:rsidR="00C24AC2" w:rsidRPr="00ED2AB5" w:rsidRDefault="00977C16" w:rsidP="00ED2AB5">
      <w:pPr>
        <w:widowControl/>
        <w:suppressAutoHyphens w:val="0"/>
        <w:jc w:val="both"/>
        <w:rPr>
          <w:color w:val="auto"/>
          <w:szCs w:val="24"/>
        </w:rPr>
      </w:pPr>
      <w:r>
        <w:rPr>
          <w:color w:val="auto"/>
          <w:szCs w:val="24"/>
        </w:rPr>
        <w:t>info@</w:t>
      </w:r>
      <w:r w:rsidR="004424E8">
        <w:rPr>
          <w:color w:val="auto"/>
          <w:szCs w:val="24"/>
        </w:rPr>
        <w:t>mkm</w:t>
      </w:r>
      <w:r w:rsidR="00C91756">
        <w:rPr>
          <w:color w:val="auto"/>
          <w:szCs w:val="24"/>
        </w:rPr>
        <w:t>.ee</w:t>
      </w:r>
    </w:p>
    <w:p w14:paraId="1C2EE57A" w14:textId="77777777" w:rsidR="0019780D" w:rsidRPr="00ED2AB5" w:rsidRDefault="0019780D" w:rsidP="00ED2AB5">
      <w:pPr>
        <w:widowControl/>
        <w:suppressAutoHyphens w:val="0"/>
        <w:jc w:val="both"/>
        <w:rPr>
          <w:szCs w:val="24"/>
        </w:rPr>
      </w:pP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</w:p>
    <w:p w14:paraId="386E873D" w14:textId="77777777" w:rsidR="00C91756" w:rsidRDefault="00C91756" w:rsidP="00ED2AB5">
      <w:pPr>
        <w:tabs>
          <w:tab w:val="left" w:pos="0"/>
        </w:tabs>
        <w:jc w:val="both"/>
        <w:rPr>
          <w:b/>
          <w:bCs/>
          <w:szCs w:val="24"/>
        </w:rPr>
      </w:pPr>
    </w:p>
    <w:p w14:paraId="4E263FAD" w14:textId="6F841034" w:rsidR="0019780D" w:rsidRPr="00ED2AB5" w:rsidRDefault="00AB5008" w:rsidP="00ED2AB5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Töölepingu seaduse muutmise seadus 837 SE</w:t>
      </w:r>
    </w:p>
    <w:p w14:paraId="2C65BF31" w14:textId="77777777" w:rsidR="0019780D" w:rsidRPr="00ED2AB5" w:rsidRDefault="0019780D" w:rsidP="00ED2AB5">
      <w:pPr>
        <w:tabs>
          <w:tab w:val="left" w:pos="0"/>
        </w:tabs>
        <w:jc w:val="both"/>
        <w:rPr>
          <w:b/>
          <w:bCs/>
          <w:szCs w:val="24"/>
        </w:rPr>
      </w:pPr>
    </w:p>
    <w:p w14:paraId="5664917E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6B2E6EAE" w14:textId="0153A544" w:rsidR="0019780D" w:rsidRDefault="0019780D" w:rsidP="00ED2AB5">
      <w:pPr>
        <w:tabs>
          <w:tab w:val="left" w:pos="0"/>
        </w:tabs>
        <w:jc w:val="both"/>
        <w:rPr>
          <w:szCs w:val="24"/>
        </w:rPr>
      </w:pPr>
      <w:r w:rsidRPr="00ED2AB5">
        <w:rPr>
          <w:szCs w:val="24"/>
        </w:rPr>
        <w:t xml:space="preserve">Lugupeetud </w:t>
      </w:r>
      <w:r w:rsidR="007859C1">
        <w:rPr>
          <w:szCs w:val="24"/>
        </w:rPr>
        <w:t>Signe Riisalo</w:t>
      </w:r>
    </w:p>
    <w:p w14:paraId="4129DB52" w14:textId="77777777" w:rsidR="007859C1" w:rsidRDefault="007859C1" w:rsidP="00ED2AB5">
      <w:pPr>
        <w:tabs>
          <w:tab w:val="left" w:pos="0"/>
        </w:tabs>
        <w:jc w:val="both"/>
        <w:rPr>
          <w:szCs w:val="24"/>
        </w:rPr>
      </w:pPr>
    </w:p>
    <w:p w14:paraId="23E376AF" w14:textId="77777777" w:rsidR="007859C1" w:rsidRDefault="007859C1" w:rsidP="00ED2AB5">
      <w:pPr>
        <w:tabs>
          <w:tab w:val="left" w:pos="0"/>
        </w:tabs>
        <w:jc w:val="both"/>
        <w:rPr>
          <w:szCs w:val="24"/>
        </w:rPr>
      </w:pPr>
    </w:p>
    <w:p w14:paraId="6846DEAA" w14:textId="7A549E4E" w:rsidR="007859C1" w:rsidRPr="00ED2AB5" w:rsidRDefault="007859C1" w:rsidP="00ED2AB5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 xml:space="preserve">Riigikogu sotsiaalkomisjoni menetluses on töölepingu seaduse muutmise seaduse eelnõu 837 </w:t>
      </w:r>
      <w:r w:rsidR="00A43C45">
        <w:rPr>
          <w:szCs w:val="24"/>
        </w:rPr>
        <w:t>SE, millega lihtsustatakse alaealiste töötamise reegleid ja muudetakse noorte tööle võtmine paindlikumaks. Eesti Advokatuuri tööõiguse komisjon soovib eelnõu osas esitada allolevad seisukohad.</w:t>
      </w:r>
    </w:p>
    <w:p w14:paraId="6F58F63B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2E397653" w14:textId="77777777" w:rsidR="00D31DD9" w:rsidRDefault="00D31DD9" w:rsidP="00ED2AB5">
      <w:pPr>
        <w:jc w:val="both"/>
        <w:rPr>
          <w:szCs w:val="24"/>
        </w:rPr>
      </w:pPr>
    </w:p>
    <w:p w14:paraId="40B407FA" w14:textId="56607275" w:rsidR="00815538" w:rsidRPr="00815538" w:rsidRDefault="00815538" w:rsidP="004E10DF">
      <w:pPr>
        <w:jc w:val="both"/>
        <w:rPr>
          <w:b/>
          <w:bCs/>
          <w:szCs w:val="24"/>
        </w:rPr>
      </w:pPr>
      <w:r w:rsidRPr="00815538">
        <w:rPr>
          <w:b/>
          <w:bCs/>
          <w:szCs w:val="24"/>
        </w:rPr>
        <w:t>1. Eelnõu § 1 p 1 ja p 2 – pereettevõtte erand</w:t>
      </w:r>
    </w:p>
    <w:p w14:paraId="64F6E6E0" w14:textId="77777777" w:rsidR="00815538" w:rsidRDefault="00815538" w:rsidP="004E10DF">
      <w:pPr>
        <w:jc w:val="both"/>
        <w:rPr>
          <w:szCs w:val="24"/>
        </w:rPr>
      </w:pPr>
    </w:p>
    <w:p w14:paraId="2C37CA95" w14:textId="4DB57CDD" w:rsidR="00815538" w:rsidRPr="00815538" w:rsidRDefault="00971A2E" w:rsidP="00815538">
      <w:pPr>
        <w:jc w:val="both"/>
        <w:rPr>
          <w:szCs w:val="24"/>
        </w:rPr>
      </w:pPr>
      <w:r>
        <w:rPr>
          <w:szCs w:val="24"/>
        </w:rPr>
        <w:t>K</w:t>
      </w:r>
      <w:r w:rsidR="00815538" w:rsidRPr="00815538">
        <w:rPr>
          <w:szCs w:val="24"/>
        </w:rPr>
        <w:t>omisjoni hinnangul on põhjust kaaluda, kas eelnõu § 1 p 1 ja p 2 alusel pereettevõtte</w:t>
      </w:r>
      <w:r>
        <w:rPr>
          <w:szCs w:val="24"/>
        </w:rPr>
        <w:t xml:space="preserve"> </w:t>
      </w:r>
      <w:r w:rsidR="00815538" w:rsidRPr="00815538">
        <w:rPr>
          <w:szCs w:val="24"/>
        </w:rPr>
        <w:t>erandi kehtestamine on vajalik ja kui see on vajalik, siis sõnastada ka pereettevõtte mõiste</w:t>
      </w:r>
      <w:r w:rsidR="00EF4177">
        <w:rPr>
          <w:szCs w:val="24"/>
        </w:rPr>
        <w:t xml:space="preserve"> </w:t>
      </w:r>
      <w:r w:rsidR="00815538" w:rsidRPr="00815538">
        <w:rPr>
          <w:szCs w:val="24"/>
        </w:rPr>
        <w:t>kooskõlas kehtiva ettevõtet ja alaealise hooldusõigust reguleeriva seadusandlusega.</w:t>
      </w:r>
      <w:r w:rsidR="00EF4177">
        <w:rPr>
          <w:szCs w:val="24"/>
        </w:rPr>
        <w:t xml:space="preserve"> </w:t>
      </w:r>
      <w:r w:rsidR="00815538" w:rsidRPr="00815538">
        <w:rPr>
          <w:szCs w:val="24"/>
        </w:rPr>
        <w:t>Pereettevõtte legaaldefinitsiooni puudumine ja eelnõu sõnastuses töölepingu seaduse</w:t>
      </w:r>
      <w:r w:rsidR="00EF4177">
        <w:rPr>
          <w:szCs w:val="24"/>
        </w:rPr>
        <w:t xml:space="preserve"> </w:t>
      </w:r>
      <w:r w:rsidR="00815538" w:rsidRPr="00815538">
        <w:rPr>
          <w:szCs w:val="24"/>
        </w:rPr>
        <w:t>paragrahvi 7 täiendamine lõikega 4</w:t>
      </w:r>
      <w:r w:rsidR="00815538" w:rsidRPr="00072BBE">
        <w:rPr>
          <w:szCs w:val="24"/>
          <w:vertAlign w:val="superscript"/>
        </w:rPr>
        <w:t>2</w:t>
      </w:r>
      <w:r w:rsidR="00815538" w:rsidRPr="00815538">
        <w:rPr>
          <w:szCs w:val="24"/>
        </w:rPr>
        <w:t xml:space="preserve"> avab võimaluse alaealiste töölepingu sõlmimise erandi</w:t>
      </w:r>
      <w:r w:rsidR="00EF4177">
        <w:rPr>
          <w:szCs w:val="24"/>
        </w:rPr>
        <w:t xml:space="preserve"> </w:t>
      </w:r>
      <w:r w:rsidR="00815538" w:rsidRPr="00815538">
        <w:rPr>
          <w:szCs w:val="24"/>
        </w:rPr>
        <w:t>kuritarvitamiseks.</w:t>
      </w:r>
    </w:p>
    <w:p w14:paraId="7F1E1B59" w14:textId="77777777" w:rsidR="00EF4177" w:rsidRDefault="00EF4177" w:rsidP="00815538">
      <w:pPr>
        <w:jc w:val="both"/>
        <w:rPr>
          <w:szCs w:val="24"/>
        </w:rPr>
      </w:pPr>
    </w:p>
    <w:p w14:paraId="0356840F" w14:textId="70637AD7" w:rsidR="00815538" w:rsidRPr="00815538" w:rsidRDefault="00815538" w:rsidP="00815538">
      <w:pPr>
        <w:jc w:val="both"/>
        <w:rPr>
          <w:szCs w:val="24"/>
        </w:rPr>
      </w:pPr>
      <w:r w:rsidRPr="00815538">
        <w:rPr>
          <w:szCs w:val="24"/>
        </w:rPr>
        <w:t>Eelnõu seletuskiri peab pereettevõttes töötamise all silmas olukorda, kus tööandjaks on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füüsilisest isikust otsejoones üleneja sugulane, külgjoones sugulane või lapsendaja. Eelnõu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tekstis kasutatav mõiste „pereettevõte“ on aga seadusandluses sisustamata. Samuti ei seleta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Vabariigi Valitsuse 09.06.2011 määrusega nr 71 kehtestatud Eesti kirjakeele normi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rakendamise korra § 2 lg 1 alusel kirjakeele normi määrav õigekeelsussõnaraamat pereettevõtte</w:t>
      </w:r>
    </w:p>
    <w:p w14:paraId="5322DB9F" w14:textId="6DAB8B03" w:rsidR="00FD1CD5" w:rsidRDefault="00815538" w:rsidP="00815538">
      <w:pPr>
        <w:jc w:val="both"/>
        <w:rPr>
          <w:szCs w:val="24"/>
        </w:rPr>
      </w:pPr>
      <w:r w:rsidRPr="00815538">
        <w:rPr>
          <w:szCs w:val="24"/>
        </w:rPr>
        <w:t>tähendust. Seletava sõnaraamatu kohaselt aga on pereettevõte ettevõte, mida peab üks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perekond. Ajakirjanduses tähistatakse pereettevõttena ka äriühingut (mitte ettevõtet selle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juriidilises tähenduses), mille tegevjuhtkond koosneb asutaja alanejatest sugulastest või mille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osa- või aktsiakapital jaotub abikaasade või asutaja ja tema alanejate sugulaste või muul moel</w:t>
      </w:r>
      <w:r w:rsidR="00EF4177">
        <w:rPr>
          <w:szCs w:val="24"/>
        </w:rPr>
        <w:t xml:space="preserve"> </w:t>
      </w:r>
      <w:r w:rsidRPr="00815538">
        <w:rPr>
          <w:szCs w:val="24"/>
        </w:rPr>
        <w:t>üksteisega seotud füüsiliste isikute vahel</w:t>
      </w:r>
      <w:r w:rsidR="00EF4177">
        <w:rPr>
          <w:rStyle w:val="FootnoteReference"/>
          <w:szCs w:val="24"/>
        </w:rPr>
        <w:footnoteReference w:id="1"/>
      </w:r>
      <w:r w:rsidRPr="00815538">
        <w:rPr>
          <w:szCs w:val="24"/>
        </w:rPr>
        <w:t>. Ehk ebaselge on pereettevõtte tähendus ka üldkeeles.</w:t>
      </w:r>
    </w:p>
    <w:p w14:paraId="438D5147" w14:textId="77777777" w:rsidR="00815538" w:rsidRDefault="00815538" w:rsidP="00ED2AB5">
      <w:pPr>
        <w:jc w:val="both"/>
        <w:rPr>
          <w:szCs w:val="24"/>
        </w:rPr>
      </w:pPr>
    </w:p>
    <w:p w14:paraId="5F8D80B6" w14:textId="77777777" w:rsidR="00AC1BA8" w:rsidRDefault="005C41BE" w:rsidP="005C41BE">
      <w:pPr>
        <w:jc w:val="both"/>
        <w:rPr>
          <w:szCs w:val="24"/>
        </w:rPr>
      </w:pPr>
      <w:r w:rsidRPr="005C41BE">
        <w:rPr>
          <w:szCs w:val="24"/>
        </w:rPr>
        <w:t>Eelnõu seletuskirjas selgitatud Euroopa Liidu õiguse mõistete autonoomsus ei õigusta</w:t>
      </w:r>
      <w:r>
        <w:rPr>
          <w:szCs w:val="24"/>
        </w:rPr>
        <w:t xml:space="preserve"> </w:t>
      </w:r>
      <w:r w:rsidRPr="005C41BE">
        <w:rPr>
          <w:szCs w:val="24"/>
        </w:rPr>
        <w:lastRenderedPageBreak/>
        <w:t xml:space="preserve">siseriiklikus õiguses mõistete defineerimata jätmist. Ka seletuskirjas viidatud direktiivi </w:t>
      </w:r>
      <w:r w:rsidR="00974D36">
        <w:rPr>
          <w:szCs w:val="24"/>
        </w:rPr>
        <w:t xml:space="preserve">(EL) </w:t>
      </w:r>
      <w:r w:rsidRPr="005C41BE">
        <w:rPr>
          <w:szCs w:val="24"/>
        </w:rPr>
        <w:t>94/33</w:t>
      </w:r>
      <w:r w:rsidR="00D74D00">
        <w:rPr>
          <w:szCs w:val="24"/>
        </w:rPr>
        <w:t xml:space="preserve"> </w:t>
      </w:r>
      <w:r w:rsidRPr="005C41BE">
        <w:rPr>
          <w:szCs w:val="24"/>
        </w:rPr>
        <w:t>artikli 2 lõike 2 punkt b ei sätesta keeldu kehtestada Eestis pereettevõtte legaaldefinitsiooni.</w:t>
      </w:r>
      <w:r>
        <w:rPr>
          <w:szCs w:val="24"/>
        </w:rPr>
        <w:t xml:space="preserve"> </w:t>
      </w:r>
      <w:r w:rsidRPr="005C41BE">
        <w:rPr>
          <w:szCs w:val="24"/>
        </w:rPr>
        <w:t>Võrdlusena pereettevõtte kui Euroopa Liidu õiguse autonoomse mõiste kohta esineb Euroopa</w:t>
      </w:r>
      <w:r>
        <w:rPr>
          <w:szCs w:val="24"/>
        </w:rPr>
        <w:t xml:space="preserve"> </w:t>
      </w:r>
      <w:r w:rsidRPr="005C41BE">
        <w:rPr>
          <w:szCs w:val="24"/>
        </w:rPr>
        <w:t>Liidu õiguses ka autonoomne töötaja mõiste. Eesti õiguses on töötaja mõiste sellest hoolimata</w:t>
      </w:r>
      <w:r>
        <w:rPr>
          <w:szCs w:val="24"/>
        </w:rPr>
        <w:t xml:space="preserve"> </w:t>
      </w:r>
      <w:r w:rsidRPr="005C41BE">
        <w:rPr>
          <w:szCs w:val="24"/>
        </w:rPr>
        <w:t>sisustatud. Viimast sõltumata sellest, kas tegemist on tähtajalise või tähtajatu lepinguga, täis</w:t>
      </w:r>
      <w:r w:rsidR="002C69AA">
        <w:rPr>
          <w:szCs w:val="24"/>
        </w:rPr>
        <w:t xml:space="preserve"> </w:t>
      </w:r>
      <w:r w:rsidRPr="005C41BE">
        <w:rPr>
          <w:szCs w:val="24"/>
        </w:rPr>
        <w:t>või</w:t>
      </w:r>
      <w:r w:rsidR="002C69AA">
        <w:rPr>
          <w:szCs w:val="24"/>
        </w:rPr>
        <w:t xml:space="preserve"> </w:t>
      </w:r>
      <w:r w:rsidRPr="005C41BE">
        <w:rPr>
          <w:szCs w:val="24"/>
        </w:rPr>
        <w:t>osalise tööajaga töölepinguga. Eesti õiguses on töötaja füüsiline isik, kes teeb teisele isikule</w:t>
      </w:r>
      <w:r>
        <w:rPr>
          <w:szCs w:val="24"/>
        </w:rPr>
        <w:t xml:space="preserve"> </w:t>
      </w:r>
      <w:r w:rsidRPr="005C41BE">
        <w:rPr>
          <w:szCs w:val="24"/>
        </w:rPr>
        <w:t xml:space="preserve">tööd tasu eest, alludes tema juhtimisele ja kontrollile (TLS § 1 lg 1). </w:t>
      </w:r>
    </w:p>
    <w:p w14:paraId="6DC12B9A" w14:textId="77777777" w:rsidR="00AC1BA8" w:rsidRDefault="00AC1BA8" w:rsidP="005C41BE">
      <w:pPr>
        <w:jc w:val="both"/>
        <w:rPr>
          <w:szCs w:val="24"/>
        </w:rPr>
      </w:pPr>
    </w:p>
    <w:p w14:paraId="18304539" w14:textId="6182BD5C" w:rsidR="005C41BE" w:rsidRDefault="005C41BE" w:rsidP="005C41BE">
      <w:pPr>
        <w:jc w:val="both"/>
        <w:rPr>
          <w:szCs w:val="24"/>
        </w:rPr>
      </w:pPr>
      <w:r w:rsidRPr="005C41BE">
        <w:rPr>
          <w:szCs w:val="24"/>
        </w:rPr>
        <w:t>Teistes EL liikmesriikides</w:t>
      </w:r>
      <w:r w:rsidR="00AC1BA8">
        <w:rPr>
          <w:szCs w:val="24"/>
        </w:rPr>
        <w:t xml:space="preserve"> </w:t>
      </w:r>
      <w:r w:rsidRPr="005C41BE">
        <w:rPr>
          <w:szCs w:val="24"/>
        </w:rPr>
        <w:t>ei ole töötaja mõiste alati samane Eesti õiguses kehtivale töötaja mõistele ja EL õiguses</w:t>
      </w:r>
      <w:r>
        <w:rPr>
          <w:szCs w:val="24"/>
        </w:rPr>
        <w:t xml:space="preserve"> </w:t>
      </w:r>
      <w:r w:rsidRPr="005C41BE">
        <w:rPr>
          <w:szCs w:val="24"/>
        </w:rPr>
        <w:t>eksisteerib erinevaid töötaja mõisteid. EL õiguses on oma autonoomne töötaja mõiste, s.t</w:t>
      </w:r>
      <w:r>
        <w:rPr>
          <w:szCs w:val="24"/>
        </w:rPr>
        <w:t xml:space="preserve"> </w:t>
      </w:r>
      <w:r w:rsidRPr="005C41BE">
        <w:rPr>
          <w:szCs w:val="24"/>
        </w:rPr>
        <w:t>töötaja mõiste, mis sisu poolest enamasti kattub, kuid alati ei pea kattuma siseriikliku õiguse</w:t>
      </w:r>
      <w:r>
        <w:rPr>
          <w:szCs w:val="24"/>
        </w:rPr>
        <w:t xml:space="preserve"> </w:t>
      </w:r>
      <w:r w:rsidRPr="005C41BE">
        <w:rPr>
          <w:szCs w:val="24"/>
        </w:rPr>
        <w:t>(Eestis: töölepingu seaduse) alusel leitava töötaja mõistega. See on ka loomulik, sest EL õigus</w:t>
      </w:r>
      <w:r>
        <w:rPr>
          <w:szCs w:val="24"/>
        </w:rPr>
        <w:t xml:space="preserve"> </w:t>
      </w:r>
      <w:r w:rsidRPr="005C41BE">
        <w:rPr>
          <w:szCs w:val="24"/>
        </w:rPr>
        <w:t>kehtib ühetaoliselt kõikides liikmesriikides, mille siseriiklikud õigusaktid on teineteisest</w:t>
      </w:r>
      <w:r>
        <w:rPr>
          <w:szCs w:val="24"/>
        </w:rPr>
        <w:t xml:space="preserve"> </w:t>
      </w:r>
      <w:r w:rsidRPr="005C41BE">
        <w:rPr>
          <w:szCs w:val="24"/>
        </w:rPr>
        <w:t>erinevad ja vastasel juhul ei oleks praktiliselt võimalik Euroopa Kohtul EL õiguse tõlgendamise</w:t>
      </w:r>
      <w:r w:rsidR="00AC1BA8">
        <w:rPr>
          <w:szCs w:val="24"/>
        </w:rPr>
        <w:t xml:space="preserve"> </w:t>
      </w:r>
      <w:r w:rsidRPr="005C41BE">
        <w:rPr>
          <w:szCs w:val="24"/>
        </w:rPr>
        <w:t>ning edasiarendamisega tegeleda. Kirjeldatud EL õiguses toodud töötaja mõiste</w:t>
      </w:r>
      <w:r>
        <w:rPr>
          <w:szCs w:val="24"/>
        </w:rPr>
        <w:t xml:space="preserve"> </w:t>
      </w:r>
      <w:r w:rsidRPr="005C41BE">
        <w:rPr>
          <w:szCs w:val="24"/>
        </w:rPr>
        <w:t>autonoomsusest tuleneb ka, et siseriiklikust õigusest tulenev töötaja määratlus ei välista isiku</w:t>
      </w:r>
      <w:r>
        <w:rPr>
          <w:szCs w:val="24"/>
        </w:rPr>
        <w:t xml:space="preserve"> </w:t>
      </w:r>
      <w:r w:rsidRPr="005C41BE">
        <w:rPr>
          <w:szCs w:val="24"/>
        </w:rPr>
        <w:t>määratlemist „töötajana” EL-i õiguse tähenduses. Sarnaselt tuleneb pereettevõtte mõiste</w:t>
      </w:r>
      <w:r>
        <w:rPr>
          <w:szCs w:val="24"/>
        </w:rPr>
        <w:t xml:space="preserve"> </w:t>
      </w:r>
      <w:r w:rsidRPr="005C41BE">
        <w:rPr>
          <w:szCs w:val="24"/>
        </w:rPr>
        <w:t>autonoomsusest, et siseriiklikust õigusest tulenev pereettevõtte määratlus ei välista</w:t>
      </w:r>
      <w:r>
        <w:rPr>
          <w:szCs w:val="24"/>
        </w:rPr>
        <w:t xml:space="preserve"> </w:t>
      </w:r>
      <w:r w:rsidRPr="005C41BE">
        <w:rPr>
          <w:szCs w:val="24"/>
        </w:rPr>
        <w:t>pereettevõtte määratlemist liidu õiguse tähenduses.</w:t>
      </w:r>
    </w:p>
    <w:p w14:paraId="321E783C" w14:textId="77777777" w:rsidR="005C41BE" w:rsidRPr="005C41BE" w:rsidRDefault="005C41BE" w:rsidP="005C41BE">
      <w:pPr>
        <w:jc w:val="both"/>
        <w:rPr>
          <w:szCs w:val="24"/>
        </w:rPr>
      </w:pPr>
    </w:p>
    <w:p w14:paraId="073F9944" w14:textId="6E496024" w:rsidR="005C41BE" w:rsidRDefault="005C41BE" w:rsidP="005C41BE">
      <w:pPr>
        <w:jc w:val="both"/>
        <w:rPr>
          <w:szCs w:val="24"/>
        </w:rPr>
      </w:pPr>
      <w:r w:rsidRPr="005C41BE">
        <w:rPr>
          <w:szCs w:val="24"/>
        </w:rPr>
        <w:t>EL õigus jaguneb esmaseks (aluslepingud) ja teiseseks õiguseks (direktiivid, määrused,</w:t>
      </w:r>
      <w:r>
        <w:rPr>
          <w:szCs w:val="24"/>
        </w:rPr>
        <w:t xml:space="preserve"> </w:t>
      </w:r>
      <w:r w:rsidRPr="005C41BE">
        <w:rPr>
          <w:szCs w:val="24"/>
        </w:rPr>
        <w:t>otsused, soovitused). On võimalik, et esmases õiguses arendab kohtupraktika välja ühe mõiste,</w:t>
      </w:r>
      <w:r>
        <w:rPr>
          <w:szCs w:val="24"/>
        </w:rPr>
        <w:t xml:space="preserve"> </w:t>
      </w:r>
      <w:r w:rsidRPr="005C41BE">
        <w:rPr>
          <w:szCs w:val="24"/>
        </w:rPr>
        <w:t>teiseses õiguses kasutavad direktiivid erinevaid mõisteid. Nii on kohtupraktika selgitusel ELTL</w:t>
      </w:r>
      <w:r>
        <w:rPr>
          <w:szCs w:val="24"/>
        </w:rPr>
        <w:t xml:space="preserve"> </w:t>
      </w:r>
      <w:r w:rsidRPr="005C41BE">
        <w:rPr>
          <w:szCs w:val="24"/>
        </w:rPr>
        <w:t>art 157 (meeste ja naiste võrdne palk), mis töötaja mõistet ei ava, tähenduses töötaja isik, kes</w:t>
      </w:r>
      <w:r>
        <w:rPr>
          <w:szCs w:val="24"/>
        </w:rPr>
        <w:t xml:space="preserve"> </w:t>
      </w:r>
      <w:r w:rsidRPr="005C41BE">
        <w:rPr>
          <w:szCs w:val="24"/>
        </w:rPr>
        <w:t xml:space="preserve">teatud aja kestel osutab teisele isikule tema juhistel tasu eest teenuseid (C-256/01, </w:t>
      </w:r>
      <w:r w:rsidRPr="00B538DC">
        <w:rPr>
          <w:i/>
          <w:iCs/>
          <w:szCs w:val="24"/>
        </w:rPr>
        <w:t>Allonby</w:t>
      </w:r>
      <w:r w:rsidRPr="005C41BE">
        <w:rPr>
          <w:szCs w:val="24"/>
        </w:rPr>
        <w:t>, p</w:t>
      </w:r>
      <w:r>
        <w:rPr>
          <w:szCs w:val="24"/>
        </w:rPr>
        <w:t xml:space="preserve"> </w:t>
      </w:r>
      <w:r w:rsidRPr="005C41BE">
        <w:rPr>
          <w:szCs w:val="24"/>
        </w:rPr>
        <w:t>67). Kui teiseses õiguses on töötaja defineerimata, nagu näiteks kollektiivseid koondamisi</w:t>
      </w:r>
      <w:r>
        <w:rPr>
          <w:szCs w:val="24"/>
        </w:rPr>
        <w:t xml:space="preserve"> </w:t>
      </w:r>
      <w:r w:rsidRPr="005C41BE">
        <w:rPr>
          <w:szCs w:val="24"/>
        </w:rPr>
        <w:t>puudutavas direktiivis 98/59/EÜ, mis viitab vaid siseriiklikus õiguses defineeritud töötaja</w:t>
      </w:r>
      <w:r>
        <w:rPr>
          <w:szCs w:val="24"/>
        </w:rPr>
        <w:t xml:space="preserve"> </w:t>
      </w:r>
      <w:r w:rsidRPr="005C41BE">
        <w:rPr>
          <w:szCs w:val="24"/>
        </w:rPr>
        <w:t>mõistele, on kohtupraktikas arendatud välja autonoomne töötaja mõiste konkreetse direktiivi</w:t>
      </w:r>
      <w:r>
        <w:rPr>
          <w:szCs w:val="24"/>
        </w:rPr>
        <w:t xml:space="preserve"> </w:t>
      </w:r>
      <w:r w:rsidRPr="005C41BE">
        <w:rPr>
          <w:szCs w:val="24"/>
        </w:rPr>
        <w:t>tähenduses (näiteks C</w:t>
      </w:r>
      <w:r w:rsidR="0007513D">
        <w:rPr>
          <w:szCs w:val="24"/>
        </w:rPr>
        <w:t>-</w:t>
      </w:r>
      <w:r w:rsidRPr="005C41BE">
        <w:rPr>
          <w:szCs w:val="24"/>
        </w:rPr>
        <w:t>229/14</w:t>
      </w:r>
      <w:r w:rsidR="00AF2479">
        <w:rPr>
          <w:szCs w:val="24"/>
        </w:rPr>
        <w:t xml:space="preserve">, </w:t>
      </w:r>
      <w:r w:rsidR="00AF2479" w:rsidRPr="00230D75">
        <w:rPr>
          <w:i/>
          <w:iCs/>
          <w:szCs w:val="24"/>
        </w:rPr>
        <w:t>Balkaya</w:t>
      </w:r>
      <w:r w:rsidRPr="005C41BE">
        <w:rPr>
          <w:szCs w:val="24"/>
        </w:rPr>
        <w:t>). Kohus luges eelviidatud asjas liidu teisese õiguse, kollektiivsete</w:t>
      </w:r>
      <w:r w:rsidR="00AC1BA8">
        <w:rPr>
          <w:szCs w:val="24"/>
        </w:rPr>
        <w:t xml:space="preserve"> </w:t>
      </w:r>
      <w:r w:rsidRPr="005C41BE">
        <w:rPr>
          <w:szCs w:val="24"/>
        </w:rPr>
        <w:t>koondamise direktiivi mõttes töötajaks ka kapitaliühingu juhatuse liikme, kes osutab tasu eest</w:t>
      </w:r>
      <w:r>
        <w:rPr>
          <w:szCs w:val="24"/>
        </w:rPr>
        <w:t xml:space="preserve"> </w:t>
      </w:r>
      <w:r w:rsidRPr="005C41BE">
        <w:rPr>
          <w:szCs w:val="24"/>
        </w:rPr>
        <w:t>teenuseid teda ametisse nimetanud äriühingule ja kes on selle äriühingu oluliseks osaks ning</w:t>
      </w:r>
      <w:r>
        <w:rPr>
          <w:szCs w:val="24"/>
        </w:rPr>
        <w:t xml:space="preserve"> </w:t>
      </w:r>
      <w:r w:rsidRPr="005C41BE">
        <w:rPr>
          <w:szCs w:val="24"/>
        </w:rPr>
        <w:t>kes tegutseb selle äriühingu teise organi juhtimise või kontrolli all ja kelle võib igal hetkel ilma</w:t>
      </w:r>
      <w:r w:rsidR="00AC1BA8">
        <w:rPr>
          <w:szCs w:val="24"/>
        </w:rPr>
        <w:t xml:space="preserve"> </w:t>
      </w:r>
      <w:r w:rsidRPr="005C41BE">
        <w:rPr>
          <w:szCs w:val="24"/>
        </w:rPr>
        <w:t>mingite piiranguteta tagasi kutsuda.</w:t>
      </w:r>
    </w:p>
    <w:p w14:paraId="7A8959EA" w14:textId="77777777" w:rsidR="005C41BE" w:rsidRPr="005C41BE" w:rsidRDefault="005C41BE" w:rsidP="005C41BE">
      <w:pPr>
        <w:jc w:val="both"/>
        <w:rPr>
          <w:szCs w:val="24"/>
        </w:rPr>
      </w:pPr>
    </w:p>
    <w:p w14:paraId="33B566CD" w14:textId="5E8CC538" w:rsidR="005C41BE" w:rsidRDefault="005C41BE" w:rsidP="005C41BE">
      <w:pPr>
        <w:jc w:val="both"/>
        <w:rPr>
          <w:szCs w:val="24"/>
        </w:rPr>
      </w:pPr>
      <w:r w:rsidRPr="005C41BE">
        <w:rPr>
          <w:szCs w:val="24"/>
        </w:rPr>
        <w:t>Eesti õiguses eelkirjeldatud tingimustele vastav äriühingu kontrollorgani liige töötajaks samas</w:t>
      </w:r>
      <w:r>
        <w:rPr>
          <w:szCs w:val="24"/>
        </w:rPr>
        <w:t xml:space="preserve"> </w:t>
      </w:r>
      <w:r w:rsidRPr="005C41BE">
        <w:rPr>
          <w:szCs w:val="24"/>
        </w:rPr>
        <w:t>ei kvalifitseeru, kuid EL õiguse esmasuse põhimõttel tuleb ka töölepingu seaduses toodud</w:t>
      </w:r>
      <w:r>
        <w:rPr>
          <w:szCs w:val="24"/>
        </w:rPr>
        <w:t xml:space="preserve"> </w:t>
      </w:r>
      <w:r w:rsidRPr="005C41BE">
        <w:rPr>
          <w:szCs w:val="24"/>
        </w:rPr>
        <w:t>kollektiivse koondamise kriteeriume kontrollida selliselt, et töötajate arvu hulka arvatakse</w:t>
      </w:r>
      <w:r>
        <w:rPr>
          <w:szCs w:val="24"/>
        </w:rPr>
        <w:t xml:space="preserve"> </w:t>
      </w:r>
      <w:r w:rsidRPr="005C41BE">
        <w:rPr>
          <w:szCs w:val="24"/>
        </w:rPr>
        <w:t>Euroopa Kohtu otsuses kirjeldatud tingimustele vastav kapitaliühingu kontrollorgani liige.</w:t>
      </w:r>
      <w:r>
        <w:rPr>
          <w:szCs w:val="24"/>
        </w:rPr>
        <w:t xml:space="preserve"> </w:t>
      </w:r>
      <w:r w:rsidRPr="005C41BE">
        <w:rPr>
          <w:szCs w:val="24"/>
        </w:rPr>
        <w:t>Sarnaselt tuleb rinnaga last toitvate kapitaliühingu kontrollorgani liikmetele kohaldada</w:t>
      </w:r>
      <w:r>
        <w:rPr>
          <w:szCs w:val="24"/>
        </w:rPr>
        <w:t xml:space="preserve"> </w:t>
      </w:r>
      <w:r w:rsidRPr="005C41BE">
        <w:rPr>
          <w:szCs w:val="24"/>
        </w:rPr>
        <w:t xml:space="preserve">töölepinguliste töötajatele antavaid eeliseid (vt ka C-232/09, </w:t>
      </w:r>
      <w:r w:rsidR="00230D75" w:rsidRPr="007E1CAB">
        <w:rPr>
          <w:i/>
          <w:iCs/>
          <w:szCs w:val="24"/>
        </w:rPr>
        <w:t>Dita Danosa</w:t>
      </w:r>
      <w:r w:rsidR="007E1CAB">
        <w:rPr>
          <w:i/>
          <w:iCs/>
          <w:szCs w:val="24"/>
        </w:rPr>
        <w:t xml:space="preserve"> v. LKB </w:t>
      </w:r>
      <w:r w:rsidR="00511B58" w:rsidRPr="00511B58">
        <w:rPr>
          <w:i/>
          <w:iCs/>
          <w:szCs w:val="24"/>
        </w:rPr>
        <w:t>Līzings</w:t>
      </w:r>
      <w:r w:rsidR="00511B58">
        <w:rPr>
          <w:i/>
          <w:iCs/>
          <w:szCs w:val="24"/>
        </w:rPr>
        <w:t xml:space="preserve"> SIA</w:t>
      </w:r>
      <w:r w:rsidR="007E1CAB" w:rsidRPr="00511B58">
        <w:rPr>
          <w:szCs w:val="24"/>
        </w:rPr>
        <w:t>,</w:t>
      </w:r>
      <w:r w:rsidR="007E1CAB">
        <w:rPr>
          <w:szCs w:val="24"/>
        </w:rPr>
        <w:t xml:space="preserve"> </w:t>
      </w:r>
      <w:r w:rsidRPr="005C41BE">
        <w:rPr>
          <w:szCs w:val="24"/>
        </w:rPr>
        <w:t xml:space="preserve">punktid 51 ja 56) nagu </w:t>
      </w:r>
      <w:r w:rsidR="00E94DE5">
        <w:rPr>
          <w:szCs w:val="24"/>
        </w:rPr>
        <w:t xml:space="preserve">näeb ette </w:t>
      </w:r>
      <w:r w:rsidRPr="005C41BE">
        <w:rPr>
          <w:szCs w:val="24"/>
        </w:rPr>
        <w:t>TTOS § 10.</w:t>
      </w:r>
    </w:p>
    <w:p w14:paraId="73FBE2C0" w14:textId="77777777" w:rsidR="005C41BE" w:rsidRPr="005C41BE" w:rsidRDefault="005C41BE" w:rsidP="005C41BE">
      <w:pPr>
        <w:jc w:val="both"/>
        <w:rPr>
          <w:szCs w:val="24"/>
        </w:rPr>
      </w:pPr>
    </w:p>
    <w:p w14:paraId="51358A82" w14:textId="77777777" w:rsidR="005C41BE" w:rsidRPr="005C41BE" w:rsidRDefault="005C41BE" w:rsidP="005C41BE">
      <w:pPr>
        <w:jc w:val="both"/>
        <w:rPr>
          <w:szCs w:val="24"/>
        </w:rPr>
      </w:pPr>
      <w:r w:rsidRPr="005C41BE">
        <w:rPr>
          <w:szCs w:val="24"/>
        </w:rPr>
        <w:t>Kokkuvõtvalt, kui pereettevõtte erandi kehtestamine on üldse asjakohane, puudub seadusandlik</w:t>
      </w:r>
    </w:p>
    <w:p w14:paraId="0E0F745F" w14:textId="77777777" w:rsidR="005C41BE" w:rsidRPr="005C41BE" w:rsidRDefault="005C41BE" w:rsidP="005C41BE">
      <w:pPr>
        <w:jc w:val="both"/>
        <w:rPr>
          <w:szCs w:val="24"/>
        </w:rPr>
      </w:pPr>
      <w:r w:rsidRPr="005C41BE">
        <w:rPr>
          <w:szCs w:val="24"/>
        </w:rPr>
        <w:t>takistus töölepingu seaduses pereettevõtte defineerimiseks. Vastava definitsiooni sõnastamisel</w:t>
      </w:r>
    </w:p>
    <w:p w14:paraId="01F01D82" w14:textId="77777777" w:rsidR="005C41BE" w:rsidRPr="00892E65" w:rsidRDefault="005C41BE" w:rsidP="005C41BE">
      <w:pPr>
        <w:jc w:val="both"/>
        <w:rPr>
          <w:i/>
          <w:iCs/>
          <w:szCs w:val="24"/>
        </w:rPr>
      </w:pPr>
      <w:r w:rsidRPr="005C41BE">
        <w:rPr>
          <w:szCs w:val="24"/>
        </w:rPr>
        <w:t>on soovitatav kaaluda Saksamaa noorte töökaitse seaduse (</w:t>
      </w:r>
      <w:r w:rsidRPr="00892E65">
        <w:rPr>
          <w:i/>
          <w:iCs/>
          <w:szCs w:val="24"/>
        </w:rPr>
        <w:t>Gesetz zum Schutze der arbeitenden</w:t>
      </w:r>
    </w:p>
    <w:p w14:paraId="41A74D4D" w14:textId="49187382" w:rsidR="00815538" w:rsidRDefault="005C41BE" w:rsidP="005C41BE">
      <w:pPr>
        <w:jc w:val="both"/>
        <w:rPr>
          <w:szCs w:val="24"/>
        </w:rPr>
      </w:pPr>
      <w:r w:rsidRPr="00892E65">
        <w:rPr>
          <w:i/>
          <w:iCs/>
          <w:szCs w:val="24"/>
        </w:rPr>
        <w:t>Jugend</w:t>
      </w:r>
      <w:r w:rsidRPr="005C41BE">
        <w:rPr>
          <w:szCs w:val="24"/>
        </w:rPr>
        <w:t>) § 1 lg 2 eeskuju, kuid ka Eestis kehtiva ettevõtte (TsÜS § 661, VÕS § 180 lg 2, § 185,</w:t>
      </w:r>
      <w:r w:rsidR="00D54035">
        <w:rPr>
          <w:szCs w:val="24"/>
        </w:rPr>
        <w:t xml:space="preserve"> </w:t>
      </w:r>
      <w:r w:rsidRPr="005C41BE">
        <w:rPr>
          <w:szCs w:val="24"/>
        </w:rPr>
        <w:t xml:space="preserve">TLS § 113 [C-194/18, </w:t>
      </w:r>
      <w:r w:rsidR="00F83CEF" w:rsidRPr="00F83CEF">
        <w:rPr>
          <w:i/>
          <w:iCs/>
          <w:szCs w:val="24"/>
        </w:rPr>
        <w:t>Jadran Dodič v Banka Koper and Alta Invest</w:t>
      </w:r>
      <w:r w:rsidR="00F83CEF">
        <w:rPr>
          <w:szCs w:val="24"/>
        </w:rPr>
        <w:t xml:space="preserve">, </w:t>
      </w:r>
      <w:r w:rsidRPr="005C41BE">
        <w:rPr>
          <w:szCs w:val="24"/>
        </w:rPr>
        <w:t>p 47]) ja hooldusõigust ning eeskostet (PKS 10. pt, § 161, 12 pt)</w:t>
      </w:r>
      <w:r w:rsidR="00D54035">
        <w:rPr>
          <w:szCs w:val="24"/>
        </w:rPr>
        <w:t xml:space="preserve"> </w:t>
      </w:r>
      <w:r w:rsidRPr="005C41BE">
        <w:rPr>
          <w:szCs w:val="24"/>
        </w:rPr>
        <w:t>reguleeriva seadusandlusega kooskõlas olevat sõnastust.</w:t>
      </w:r>
    </w:p>
    <w:p w14:paraId="1B39D543" w14:textId="5B077B49" w:rsidR="00D54035" w:rsidRDefault="00D54035" w:rsidP="00D54035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2. </w:t>
      </w:r>
      <w:r w:rsidRPr="00D54035">
        <w:rPr>
          <w:b/>
          <w:bCs/>
          <w:szCs w:val="24"/>
        </w:rPr>
        <w:t>Eelnõu § 1 p 3 – seadusliku esindaja nõusoleku andmise keelu rikkumise tagajärg</w:t>
      </w:r>
    </w:p>
    <w:p w14:paraId="5156BBE3" w14:textId="77777777" w:rsidR="00D54035" w:rsidRDefault="00D54035" w:rsidP="00D54035">
      <w:pPr>
        <w:jc w:val="both"/>
        <w:rPr>
          <w:b/>
          <w:bCs/>
          <w:szCs w:val="24"/>
        </w:rPr>
      </w:pPr>
    </w:p>
    <w:p w14:paraId="3D666E71" w14:textId="69B967DC" w:rsidR="00D54035" w:rsidRDefault="00D54035" w:rsidP="00D54035">
      <w:pPr>
        <w:jc w:val="both"/>
        <w:rPr>
          <w:szCs w:val="24"/>
        </w:rPr>
      </w:pPr>
      <w:r>
        <w:rPr>
          <w:szCs w:val="24"/>
        </w:rPr>
        <w:t>K</w:t>
      </w:r>
      <w:r w:rsidRPr="00D54035">
        <w:rPr>
          <w:szCs w:val="24"/>
        </w:rPr>
        <w:t>omisjon teeb ettepaneku täiendada sõnastust, tagamaks seadusliku esindaja</w:t>
      </w:r>
      <w:r>
        <w:rPr>
          <w:b/>
          <w:bCs/>
          <w:szCs w:val="24"/>
        </w:rPr>
        <w:t xml:space="preserve"> </w:t>
      </w:r>
      <w:r w:rsidRPr="00D54035">
        <w:rPr>
          <w:szCs w:val="24"/>
        </w:rPr>
        <w:t xml:space="preserve">nõusoleku andmise keelu </w:t>
      </w:r>
      <w:r w:rsidR="006F6D08">
        <w:rPr>
          <w:szCs w:val="24"/>
        </w:rPr>
        <w:t xml:space="preserve">rikkumise </w:t>
      </w:r>
      <w:r w:rsidRPr="00D54035">
        <w:rPr>
          <w:szCs w:val="24"/>
        </w:rPr>
        <w:t>tagajärjena sellise nõusoleku tühisus.</w:t>
      </w:r>
    </w:p>
    <w:p w14:paraId="2B6B3BDC" w14:textId="77777777" w:rsidR="00D54035" w:rsidRPr="00D54035" w:rsidRDefault="00D54035" w:rsidP="00D54035">
      <w:pPr>
        <w:jc w:val="both"/>
        <w:rPr>
          <w:b/>
          <w:bCs/>
          <w:szCs w:val="24"/>
        </w:rPr>
      </w:pPr>
    </w:p>
    <w:p w14:paraId="1DA7B96C" w14:textId="77777777" w:rsidR="00D54035" w:rsidRPr="00D54035" w:rsidRDefault="00D54035" w:rsidP="00D54035">
      <w:pPr>
        <w:jc w:val="both"/>
        <w:rPr>
          <w:szCs w:val="24"/>
        </w:rPr>
      </w:pPr>
      <w:r w:rsidRPr="00D54035">
        <w:rPr>
          <w:szCs w:val="24"/>
        </w:rPr>
        <w:t>Kehtiva TLS § 8 lg 1 sätestab seadusliku esindaja eelneva nõusolekuta töölepingu sõlmimiseks</w:t>
      </w:r>
    </w:p>
    <w:p w14:paraId="1EB778E7" w14:textId="324F278B" w:rsidR="00D54035" w:rsidRPr="00D54035" w:rsidRDefault="00D54035" w:rsidP="009C705F">
      <w:pPr>
        <w:jc w:val="both"/>
        <w:rPr>
          <w:szCs w:val="24"/>
        </w:rPr>
      </w:pPr>
      <w:r w:rsidRPr="00D54035">
        <w:rPr>
          <w:szCs w:val="24"/>
        </w:rPr>
        <w:t>antava alaealise tahteavalduse tühisuse tingimused. Samas ei sätesta kehtiv seadus § 8 lg 2</w:t>
      </w:r>
      <w:r>
        <w:rPr>
          <w:szCs w:val="24"/>
        </w:rPr>
        <w:t xml:space="preserve"> </w:t>
      </w:r>
      <w:r w:rsidRPr="00D54035">
        <w:rPr>
          <w:szCs w:val="24"/>
        </w:rPr>
        <w:t xml:space="preserve">sätestatud nõusoleku andmise keelu </w:t>
      </w:r>
      <w:r w:rsidR="006F6D08">
        <w:rPr>
          <w:szCs w:val="24"/>
        </w:rPr>
        <w:t xml:space="preserve">rikkumise </w:t>
      </w:r>
      <w:r w:rsidRPr="00D54035">
        <w:rPr>
          <w:szCs w:val="24"/>
        </w:rPr>
        <w:t>tagajärge. Ka eelnõu § 1 p 3 alusel kehtestatav seadusliku</w:t>
      </w:r>
      <w:r w:rsidR="006F6D08">
        <w:rPr>
          <w:szCs w:val="24"/>
        </w:rPr>
        <w:t xml:space="preserve"> </w:t>
      </w:r>
      <w:r w:rsidRPr="00D54035">
        <w:rPr>
          <w:szCs w:val="24"/>
        </w:rPr>
        <w:t>esindaja nõusoleku andmise keelu rikkumise tagajärg on ebaselge. Sellist tagajärge ei sisusta ka TLS § 2.</w:t>
      </w:r>
    </w:p>
    <w:p w14:paraId="0E27BB88" w14:textId="77777777" w:rsidR="00D54035" w:rsidRDefault="00D54035" w:rsidP="00D54035">
      <w:pPr>
        <w:jc w:val="both"/>
        <w:rPr>
          <w:szCs w:val="24"/>
        </w:rPr>
      </w:pPr>
    </w:p>
    <w:p w14:paraId="7FA609E9" w14:textId="52BBEAB3" w:rsidR="00D54035" w:rsidRPr="00D54035" w:rsidRDefault="00D54035" w:rsidP="00D54035">
      <w:pPr>
        <w:jc w:val="both"/>
        <w:rPr>
          <w:szCs w:val="24"/>
        </w:rPr>
      </w:pPr>
      <w:r w:rsidRPr="00D54035">
        <w:rPr>
          <w:szCs w:val="24"/>
        </w:rPr>
        <w:t>Nii on võimalik otseselt töötaja kasuks sätestatud normidest kõrvalekaldumisel tehtud tehinguid</w:t>
      </w:r>
    </w:p>
    <w:p w14:paraId="1FD7213D" w14:textId="77777777" w:rsidR="00D54035" w:rsidRPr="00D54035" w:rsidRDefault="00D54035" w:rsidP="00D54035">
      <w:pPr>
        <w:jc w:val="both"/>
        <w:rPr>
          <w:szCs w:val="24"/>
        </w:rPr>
      </w:pPr>
      <w:r w:rsidRPr="00D54035">
        <w:rPr>
          <w:szCs w:val="24"/>
        </w:rPr>
        <w:t>lugeda TsÜS § 87 alusel kehtivaks põhjusel, et keelu mõtteks ei ole tuua kaasa tehingu tühisust.</w:t>
      </w:r>
    </w:p>
    <w:p w14:paraId="2B7C9B4D" w14:textId="54768577" w:rsidR="00D54035" w:rsidRDefault="00D54035" w:rsidP="00D54035">
      <w:pPr>
        <w:jc w:val="both"/>
        <w:rPr>
          <w:szCs w:val="24"/>
        </w:rPr>
      </w:pPr>
      <w:r w:rsidRPr="00D54035">
        <w:rPr>
          <w:szCs w:val="24"/>
        </w:rPr>
        <w:t>Sarnaselt on TsÜS § 83 alusel leitud, et töölepingu vorminõude eesmärgist ei tulene, et</w:t>
      </w:r>
      <w:r>
        <w:rPr>
          <w:szCs w:val="24"/>
        </w:rPr>
        <w:t xml:space="preserve"> </w:t>
      </w:r>
      <w:r w:rsidRPr="00D54035">
        <w:rPr>
          <w:szCs w:val="24"/>
        </w:rPr>
        <w:t>tööleping või selle muutmise kokkulepped oleksid kirjaliku vormi järgimata jätmisel tühised</w:t>
      </w:r>
      <w:r>
        <w:rPr>
          <w:szCs w:val="24"/>
        </w:rPr>
        <w:t xml:space="preserve"> </w:t>
      </w:r>
      <w:r w:rsidRPr="00D54035">
        <w:rPr>
          <w:szCs w:val="24"/>
        </w:rPr>
        <w:t>(</w:t>
      </w:r>
      <w:r w:rsidR="00A65DD0">
        <w:rPr>
          <w:szCs w:val="24"/>
        </w:rPr>
        <w:t>RKTKo 19.03.2008</w:t>
      </w:r>
      <w:r w:rsidR="009022FA">
        <w:rPr>
          <w:szCs w:val="24"/>
        </w:rPr>
        <w:t xml:space="preserve"> nr </w:t>
      </w:r>
      <w:r w:rsidRPr="00D54035">
        <w:rPr>
          <w:szCs w:val="24"/>
        </w:rPr>
        <w:t>3-2-1-6-08, p 13).</w:t>
      </w:r>
    </w:p>
    <w:p w14:paraId="3C9C7FEE" w14:textId="77777777" w:rsidR="00D54035" w:rsidRPr="00D54035" w:rsidRDefault="00D54035" w:rsidP="00D54035">
      <w:pPr>
        <w:jc w:val="both"/>
        <w:rPr>
          <w:szCs w:val="24"/>
        </w:rPr>
      </w:pPr>
    </w:p>
    <w:p w14:paraId="5EEA5933" w14:textId="2DCD2647" w:rsidR="00D54035" w:rsidRPr="00D54035" w:rsidRDefault="00D54035" w:rsidP="00D54035">
      <w:pPr>
        <w:jc w:val="both"/>
        <w:rPr>
          <w:szCs w:val="24"/>
        </w:rPr>
      </w:pPr>
      <w:r w:rsidRPr="00D54035">
        <w:rPr>
          <w:szCs w:val="24"/>
        </w:rPr>
        <w:t>Vältimaks võimalust, et vaidluse korral loetakse õppimiskohustusliku alaealise koolivaheajal</w:t>
      </w:r>
      <w:r>
        <w:rPr>
          <w:szCs w:val="24"/>
        </w:rPr>
        <w:t xml:space="preserve"> </w:t>
      </w:r>
      <w:r w:rsidRPr="00D54035">
        <w:rPr>
          <w:szCs w:val="24"/>
        </w:rPr>
        <w:t>töötamiseks antud seadusliku esindaja nõusolek ja seeläbi TLS § 8 lg 1 alusel ka seaduses</w:t>
      </w:r>
      <w:r>
        <w:rPr>
          <w:szCs w:val="24"/>
        </w:rPr>
        <w:t xml:space="preserve"> </w:t>
      </w:r>
      <w:r w:rsidRPr="00D54035">
        <w:rPr>
          <w:szCs w:val="24"/>
        </w:rPr>
        <w:t>sätestatud piiranguid eirav tööleping kehtivaks, palub tööõiguse komisjon kaaluda eelnõu</w:t>
      </w:r>
      <w:r>
        <w:rPr>
          <w:szCs w:val="24"/>
        </w:rPr>
        <w:t xml:space="preserve"> </w:t>
      </w:r>
      <w:r w:rsidRPr="00D54035">
        <w:rPr>
          <w:szCs w:val="24"/>
        </w:rPr>
        <w:t>täiendamist. Täienduse sõnastus peaks tagama, et seadusliku esindaja nõusoleku andmise keelu</w:t>
      </w:r>
    </w:p>
    <w:p w14:paraId="50F99214" w14:textId="5FBDAC48" w:rsidR="00815538" w:rsidRDefault="00D54035" w:rsidP="00D54035">
      <w:pPr>
        <w:jc w:val="both"/>
        <w:rPr>
          <w:szCs w:val="24"/>
        </w:rPr>
      </w:pPr>
      <w:r w:rsidRPr="00D54035">
        <w:rPr>
          <w:szCs w:val="24"/>
        </w:rPr>
        <w:t xml:space="preserve">mõtteks on tuua kaasa </w:t>
      </w:r>
      <w:r w:rsidR="009C705F">
        <w:rPr>
          <w:szCs w:val="24"/>
        </w:rPr>
        <w:t>keeldu rikkuva</w:t>
      </w:r>
      <w:r w:rsidRPr="00D54035">
        <w:rPr>
          <w:szCs w:val="24"/>
        </w:rPr>
        <w:t xml:space="preserve"> nõusoleku (ja alaealise töölepingu) tühisus.</w:t>
      </w:r>
    </w:p>
    <w:p w14:paraId="0B116824" w14:textId="77777777" w:rsidR="00815538" w:rsidRDefault="00815538" w:rsidP="00ED2AB5">
      <w:pPr>
        <w:jc w:val="both"/>
        <w:rPr>
          <w:szCs w:val="24"/>
        </w:rPr>
      </w:pPr>
    </w:p>
    <w:p w14:paraId="6A4B3519" w14:textId="78A2D53B" w:rsidR="00DB46E1" w:rsidRDefault="00DB46E1" w:rsidP="00DB46E1">
      <w:pPr>
        <w:jc w:val="both"/>
        <w:rPr>
          <w:b/>
          <w:bCs/>
          <w:szCs w:val="24"/>
        </w:rPr>
      </w:pPr>
      <w:r w:rsidRPr="00DB46E1">
        <w:rPr>
          <w:b/>
          <w:bCs/>
          <w:szCs w:val="24"/>
        </w:rPr>
        <w:t>3. Eelnõu § 1 p 3 – koolivaheajal töötamise piirangu leevendamine</w:t>
      </w:r>
    </w:p>
    <w:p w14:paraId="0B9F8560" w14:textId="77777777" w:rsidR="00DB46E1" w:rsidRPr="00DB46E1" w:rsidRDefault="00DB46E1" w:rsidP="00DB46E1">
      <w:pPr>
        <w:jc w:val="both"/>
        <w:rPr>
          <w:b/>
          <w:bCs/>
          <w:szCs w:val="24"/>
        </w:rPr>
      </w:pPr>
    </w:p>
    <w:p w14:paraId="4103D894" w14:textId="37F4E77C" w:rsidR="00DB46E1" w:rsidRDefault="00DB46E1" w:rsidP="00DB46E1">
      <w:pPr>
        <w:jc w:val="both"/>
        <w:rPr>
          <w:szCs w:val="24"/>
        </w:rPr>
      </w:pPr>
      <w:r>
        <w:rPr>
          <w:szCs w:val="24"/>
        </w:rPr>
        <w:t>K</w:t>
      </w:r>
      <w:r w:rsidRPr="00DB46E1">
        <w:rPr>
          <w:szCs w:val="24"/>
        </w:rPr>
        <w:t>omisjon leiab, et koolivaheajal töötamise piirangu leevendamise analüüs on eelnõus</w:t>
      </w:r>
      <w:r>
        <w:rPr>
          <w:szCs w:val="24"/>
        </w:rPr>
        <w:t xml:space="preserve"> </w:t>
      </w:r>
      <w:r w:rsidRPr="00DB46E1">
        <w:rPr>
          <w:szCs w:val="24"/>
        </w:rPr>
        <w:t>seletuskirjas puudulik ja esineb vastuolu Euroopa sotsiaalharta artikli 7 § 3</w:t>
      </w:r>
      <w:r>
        <w:rPr>
          <w:szCs w:val="24"/>
        </w:rPr>
        <w:t xml:space="preserve"> </w:t>
      </w:r>
      <w:r w:rsidRPr="00DB46E1">
        <w:rPr>
          <w:szCs w:val="24"/>
        </w:rPr>
        <w:t>tõlgenduspraktikaga.</w:t>
      </w:r>
    </w:p>
    <w:p w14:paraId="339D4F59" w14:textId="77777777" w:rsidR="00DB46E1" w:rsidRPr="00DB46E1" w:rsidRDefault="00DB46E1" w:rsidP="00DB46E1">
      <w:pPr>
        <w:jc w:val="both"/>
        <w:rPr>
          <w:szCs w:val="24"/>
        </w:rPr>
      </w:pPr>
    </w:p>
    <w:p w14:paraId="44377884" w14:textId="5CFC947A" w:rsidR="00DB46E1" w:rsidRPr="00DB46E1" w:rsidRDefault="00DB46E1" w:rsidP="00DB46E1">
      <w:pPr>
        <w:jc w:val="both"/>
        <w:rPr>
          <w:szCs w:val="24"/>
        </w:rPr>
      </w:pPr>
      <w:r w:rsidRPr="00DB46E1">
        <w:rPr>
          <w:szCs w:val="24"/>
        </w:rPr>
        <w:t>Kehtiv TLS § 8 lõige 2 keelab alaealise seaduslikul esindajal anda nõusolekut</w:t>
      </w:r>
      <w:r>
        <w:rPr>
          <w:szCs w:val="24"/>
        </w:rPr>
        <w:t xml:space="preserve"> </w:t>
      </w:r>
      <w:r w:rsidRPr="00DB46E1">
        <w:rPr>
          <w:szCs w:val="24"/>
        </w:rPr>
        <w:t>õppimiskohustusliku alaealise töötamiseks koolivaheajal kauem kui pooleks iga koolivaheaja</w:t>
      </w:r>
      <w:r>
        <w:rPr>
          <w:szCs w:val="24"/>
        </w:rPr>
        <w:t xml:space="preserve"> </w:t>
      </w:r>
      <w:r w:rsidRPr="00DB46E1">
        <w:rPr>
          <w:szCs w:val="24"/>
        </w:rPr>
        <w:t>kestusest. 2009. aastal TLS-i vastu võttes põhjendas seaduseandja „poole vaheaja" reeglit</w:t>
      </w:r>
      <w:r>
        <w:rPr>
          <w:szCs w:val="24"/>
        </w:rPr>
        <w:t xml:space="preserve"> </w:t>
      </w:r>
      <w:r w:rsidRPr="00DB46E1">
        <w:rPr>
          <w:szCs w:val="24"/>
        </w:rPr>
        <w:t>sõnaselgelt vajadusega kindlustada koolikohustuslikule alaealisele võimalus järgmiseks</w:t>
      </w:r>
      <w:r>
        <w:rPr>
          <w:szCs w:val="24"/>
        </w:rPr>
        <w:t xml:space="preserve"> </w:t>
      </w:r>
      <w:r w:rsidRPr="00DB46E1">
        <w:rPr>
          <w:szCs w:val="24"/>
        </w:rPr>
        <w:t>õppeperioodiks välja puhata. Seaduseandja tunnistas toona, et koolivaheajal töötamise piirang</w:t>
      </w:r>
    </w:p>
    <w:p w14:paraId="0DD14670" w14:textId="36F1516F" w:rsidR="00DB46E1" w:rsidRPr="00DB46E1" w:rsidRDefault="00DB46E1" w:rsidP="00DB46E1">
      <w:pPr>
        <w:jc w:val="both"/>
        <w:rPr>
          <w:szCs w:val="24"/>
        </w:rPr>
      </w:pPr>
      <w:r w:rsidRPr="00DB46E1">
        <w:rPr>
          <w:szCs w:val="24"/>
        </w:rPr>
        <w:t>arvestab Euroopa sotsiaalharta artikli 7 lõiget 3 ning Euroopa Sotsiaalõiguste Komitee</w:t>
      </w:r>
      <w:r>
        <w:rPr>
          <w:szCs w:val="24"/>
        </w:rPr>
        <w:t xml:space="preserve"> </w:t>
      </w:r>
      <w:r w:rsidRPr="00DB46E1">
        <w:rPr>
          <w:szCs w:val="24"/>
        </w:rPr>
        <w:t>(edaspidi: komitee) sellekohast tõlgenduspraktikat, eelkõige komitee 2006. aasta järeldusi</w:t>
      </w:r>
      <w:r>
        <w:rPr>
          <w:szCs w:val="24"/>
        </w:rPr>
        <w:t xml:space="preserve"> </w:t>
      </w:r>
      <w:r w:rsidRPr="00DB46E1">
        <w:rPr>
          <w:szCs w:val="24"/>
        </w:rPr>
        <w:t>Hollandi suhtes, mille kohaselt peab töötamine olema keelatud vähemalt nelja nädala pikkuseks</w:t>
      </w:r>
    </w:p>
    <w:p w14:paraId="3087EBAA" w14:textId="77777777" w:rsidR="00DB46E1" w:rsidRPr="00DB46E1" w:rsidRDefault="00DB46E1" w:rsidP="00DB46E1">
      <w:pPr>
        <w:jc w:val="both"/>
        <w:rPr>
          <w:szCs w:val="24"/>
        </w:rPr>
      </w:pPr>
      <w:r w:rsidRPr="00DB46E1">
        <w:rPr>
          <w:szCs w:val="24"/>
        </w:rPr>
        <w:t>ajavahemikuks suvevaheajal ja vähemalt pooleks iga kooliaasta jooksul antava koolivaheaja</w:t>
      </w:r>
    </w:p>
    <w:p w14:paraId="69689C57" w14:textId="0F826CED" w:rsidR="00DB46E1" w:rsidRPr="00DB46E1" w:rsidRDefault="00DB46E1" w:rsidP="00DB46E1">
      <w:pPr>
        <w:jc w:val="both"/>
        <w:rPr>
          <w:szCs w:val="24"/>
        </w:rPr>
      </w:pPr>
      <w:r w:rsidRPr="00DB46E1">
        <w:rPr>
          <w:szCs w:val="24"/>
        </w:rPr>
        <w:t>kestusest.</w:t>
      </w:r>
      <w:r>
        <w:rPr>
          <w:rStyle w:val="FootnoteReference"/>
          <w:szCs w:val="24"/>
        </w:rPr>
        <w:footnoteReference w:id="2"/>
      </w:r>
    </w:p>
    <w:p w14:paraId="60700E51" w14:textId="77777777" w:rsidR="00AA4A02" w:rsidRDefault="00AA4A02" w:rsidP="00DB46E1">
      <w:pPr>
        <w:jc w:val="both"/>
        <w:rPr>
          <w:szCs w:val="24"/>
        </w:rPr>
      </w:pPr>
    </w:p>
    <w:p w14:paraId="4489244F" w14:textId="747F7EE1" w:rsidR="00815538" w:rsidRDefault="00DB46E1" w:rsidP="00DB46E1">
      <w:pPr>
        <w:jc w:val="both"/>
        <w:rPr>
          <w:szCs w:val="24"/>
        </w:rPr>
      </w:pPr>
      <w:r w:rsidRPr="00DB46E1">
        <w:rPr>
          <w:szCs w:val="24"/>
        </w:rPr>
        <w:t>Nüüd esitab eelnõu seletuskiri komitee sama tõlgendust üksnes osaliselt: viidatakse</w:t>
      </w:r>
      <w:r w:rsidR="00AA4A02">
        <w:rPr>
          <w:szCs w:val="24"/>
        </w:rPr>
        <w:t xml:space="preserve"> </w:t>
      </w:r>
      <w:r w:rsidRPr="00DB46E1">
        <w:rPr>
          <w:szCs w:val="24"/>
        </w:rPr>
        <w:t>neljanädalasele suvisele puhkeperioodile kui kooskõla alusele, kuid jäetakse tähelepanuta</w:t>
      </w:r>
      <w:r w:rsidR="00AA4A02">
        <w:rPr>
          <w:szCs w:val="24"/>
        </w:rPr>
        <w:t xml:space="preserve"> </w:t>
      </w:r>
      <w:r w:rsidRPr="00DB46E1">
        <w:rPr>
          <w:szCs w:val="24"/>
        </w:rPr>
        <w:t>komitee samas tõlgenduses sisalduv teine oluline tingimus – et töövaba periood peaks</w:t>
      </w:r>
      <w:r w:rsidR="00AA4A02">
        <w:rPr>
          <w:szCs w:val="24"/>
        </w:rPr>
        <w:t xml:space="preserve"> </w:t>
      </w:r>
      <w:r w:rsidRPr="00DB46E1">
        <w:rPr>
          <w:szCs w:val="24"/>
        </w:rPr>
        <w:t>moodustama vähemalt poole iga koolivaheaja kestusest. Tegemist on komitee kumulatiivse</w:t>
      </w:r>
      <w:r w:rsidR="00AA4A02">
        <w:rPr>
          <w:szCs w:val="24"/>
        </w:rPr>
        <w:t xml:space="preserve"> </w:t>
      </w:r>
      <w:r w:rsidRPr="00DB46E1">
        <w:rPr>
          <w:szCs w:val="24"/>
        </w:rPr>
        <w:t>standardiga, mitte kahe alternatiivselt kohaldatava nõudega.</w:t>
      </w:r>
    </w:p>
    <w:p w14:paraId="06194F3A" w14:textId="77777777" w:rsidR="00815538" w:rsidRDefault="00815538" w:rsidP="00ED2AB5">
      <w:pPr>
        <w:jc w:val="both"/>
        <w:rPr>
          <w:szCs w:val="24"/>
        </w:rPr>
      </w:pPr>
    </w:p>
    <w:p w14:paraId="07927750" w14:textId="26CE0C17" w:rsidR="00815538" w:rsidRDefault="006861B0" w:rsidP="00BF30CA">
      <w:pPr>
        <w:jc w:val="both"/>
        <w:rPr>
          <w:szCs w:val="24"/>
        </w:rPr>
      </w:pPr>
      <w:r w:rsidRPr="006861B0">
        <w:rPr>
          <w:szCs w:val="24"/>
        </w:rPr>
        <w:lastRenderedPageBreak/>
        <w:t>Kavandatava regulatsiooni kohaselt lubatakse alaealisel töötada lühematel koolivaheaegadel</w:t>
      </w:r>
      <w:r>
        <w:rPr>
          <w:szCs w:val="24"/>
        </w:rPr>
        <w:t xml:space="preserve"> </w:t>
      </w:r>
      <w:r w:rsidRPr="006861B0">
        <w:rPr>
          <w:szCs w:val="24"/>
        </w:rPr>
        <w:t>kuni viis päeva seitsmest (ühenädalane vaheaeg) ja kuni kümme päeva neljateistkümnest</w:t>
      </w:r>
      <w:r>
        <w:rPr>
          <w:szCs w:val="24"/>
        </w:rPr>
        <w:t xml:space="preserve"> </w:t>
      </w:r>
      <w:r w:rsidRPr="006861B0">
        <w:rPr>
          <w:szCs w:val="24"/>
        </w:rPr>
        <w:t>(kahenädalane vaheaeg), mis tähendab, et töövaba aeg moodustab vaheajast vaid ligikaudu</w:t>
      </w:r>
      <w:r>
        <w:rPr>
          <w:szCs w:val="24"/>
        </w:rPr>
        <w:t xml:space="preserve"> </w:t>
      </w:r>
      <w:r w:rsidRPr="006861B0">
        <w:rPr>
          <w:szCs w:val="24"/>
        </w:rPr>
        <w:t>29%, mitte vähemalt 50%, nagu komitee tõlgendus nõuab.</w:t>
      </w:r>
      <w:r>
        <w:rPr>
          <w:szCs w:val="24"/>
        </w:rPr>
        <w:t xml:space="preserve"> </w:t>
      </w:r>
      <w:r w:rsidRPr="006861B0">
        <w:rPr>
          <w:szCs w:val="24"/>
        </w:rPr>
        <w:t>Eelnõu ei sisalda põhjendust selle</w:t>
      </w:r>
      <w:r>
        <w:rPr>
          <w:szCs w:val="24"/>
        </w:rPr>
        <w:t xml:space="preserve"> </w:t>
      </w:r>
      <w:r w:rsidR="00BF30CA" w:rsidRPr="00BF30CA">
        <w:rPr>
          <w:szCs w:val="24"/>
        </w:rPr>
        <w:t>kohta, miks selline lahendus tagab samaväärse kaitse taseme võrreldes senise „poole vaheaja"</w:t>
      </w:r>
      <w:r w:rsidR="00AC1BA8">
        <w:rPr>
          <w:szCs w:val="24"/>
        </w:rPr>
        <w:t xml:space="preserve"> </w:t>
      </w:r>
      <w:r w:rsidR="00BF30CA" w:rsidRPr="00BF30CA">
        <w:rPr>
          <w:szCs w:val="24"/>
        </w:rPr>
        <w:t>reegliga, ega selgita, kuidas see on kooskõlas harta artikli 7 lõike 3 tervikliku tõlgendusega.</w:t>
      </w:r>
      <w:r w:rsidR="00BF30CA">
        <w:rPr>
          <w:szCs w:val="24"/>
        </w:rPr>
        <w:t xml:space="preserve"> </w:t>
      </w:r>
      <w:r w:rsidR="00BF30CA" w:rsidRPr="00BF30CA">
        <w:rPr>
          <w:szCs w:val="24"/>
        </w:rPr>
        <w:t>Selleks et kavandatava muudatuse rahvusvahelise õiguse kooskõla saaks põhjalikult hinnata,</w:t>
      </w:r>
      <w:r w:rsidR="00BF30CA">
        <w:rPr>
          <w:szCs w:val="24"/>
        </w:rPr>
        <w:t xml:space="preserve"> </w:t>
      </w:r>
      <w:r w:rsidR="00BF30CA" w:rsidRPr="00BF30CA">
        <w:rPr>
          <w:szCs w:val="24"/>
        </w:rPr>
        <w:t>peaks eelnõu seletuskiri selle küsimusega sisuliselt tegelema.</w:t>
      </w:r>
      <w:r w:rsidR="00BF30CA">
        <w:rPr>
          <w:szCs w:val="24"/>
        </w:rPr>
        <w:t xml:space="preserve"> </w:t>
      </w:r>
      <w:r w:rsidR="00BF30CA" w:rsidRPr="00BF30CA">
        <w:rPr>
          <w:szCs w:val="24"/>
        </w:rPr>
        <w:t>Seletuskirjas on tegemata ka TLS § 8 lõike 2 muudatuse kooskõla analüüs direktiiviga 94/33.</w:t>
      </w:r>
    </w:p>
    <w:p w14:paraId="259CE4FE" w14:textId="77777777" w:rsidR="00D475A1" w:rsidRDefault="00D475A1" w:rsidP="00BF30CA">
      <w:pPr>
        <w:jc w:val="both"/>
        <w:rPr>
          <w:szCs w:val="24"/>
        </w:rPr>
      </w:pPr>
    </w:p>
    <w:p w14:paraId="2F19512A" w14:textId="77777777" w:rsidR="00815538" w:rsidRDefault="00815538" w:rsidP="00ED2AB5">
      <w:pPr>
        <w:jc w:val="both"/>
        <w:rPr>
          <w:b/>
          <w:bCs/>
          <w:szCs w:val="24"/>
        </w:rPr>
      </w:pPr>
    </w:p>
    <w:p w14:paraId="259E4B57" w14:textId="77777777" w:rsidR="00A43C45" w:rsidRDefault="00A43C45" w:rsidP="00ED2AB5">
      <w:pPr>
        <w:jc w:val="both"/>
        <w:rPr>
          <w:szCs w:val="24"/>
        </w:rPr>
      </w:pPr>
    </w:p>
    <w:p w14:paraId="60875967" w14:textId="77777777" w:rsidR="00815538" w:rsidRPr="00ED2AB5" w:rsidRDefault="00815538" w:rsidP="00ED2AB5">
      <w:pPr>
        <w:jc w:val="both"/>
        <w:rPr>
          <w:szCs w:val="24"/>
        </w:rPr>
      </w:pPr>
    </w:p>
    <w:p w14:paraId="3894BA9D" w14:textId="77777777" w:rsidR="0019780D" w:rsidRPr="00ED2AB5" w:rsidRDefault="0019780D" w:rsidP="00ED2AB5">
      <w:pPr>
        <w:jc w:val="both"/>
        <w:rPr>
          <w:b/>
          <w:bCs/>
          <w:szCs w:val="24"/>
        </w:rPr>
      </w:pPr>
      <w:r w:rsidRPr="00ED2AB5">
        <w:rPr>
          <w:szCs w:val="24"/>
        </w:rPr>
        <w:t>Lugupidamisega</w:t>
      </w:r>
    </w:p>
    <w:p w14:paraId="3CC7F4BF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</w:p>
    <w:p w14:paraId="5E0529D0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  <w:r w:rsidRPr="00ED2AB5">
        <w:rPr>
          <w:rFonts w:cs="Times New Roman"/>
          <w:i/>
          <w:iCs/>
        </w:rPr>
        <w:t>allkirjastatud digitaalselt</w:t>
      </w:r>
    </w:p>
    <w:p w14:paraId="0721F605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</w:p>
    <w:p w14:paraId="3CE7CF0B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Imbi Jürgen</w:t>
      </w:r>
    </w:p>
    <w:p w14:paraId="23FEBFCD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Esimees</w:t>
      </w:r>
    </w:p>
    <w:p w14:paraId="3BFF6B95" w14:textId="77777777" w:rsidR="009C705F" w:rsidRDefault="009C705F" w:rsidP="00ED2AB5">
      <w:pPr>
        <w:pStyle w:val="Body"/>
        <w:jc w:val="both"/>
        <w:rPr>
          <w:rFonts w:cs="Times New Roman"/>
        </w:rPr>
      </w:pPr>
    </w:p>
    <w:p w14:paraId="46F49E4E" w14:textId="77777777" w:rsidR="007D6626" w:rsidRDefault="007D6626" w:rsidP="00ED2AB5">
      <w:pPr>
        <w:pStyle w:val="Body"/>
        <w:jc w:val="both"/>
        <w:rPr>
          <w:rFonts w:cs="Times New Roman"/>
        </w:rPr>
      </w:pPr>
    </w:p>
    <w:p w14:paraId="45D9DAEB" w14:textId="77777777" w:rsidR="007D6626" w:rsidRDefault="007D6626" w:rsidP="00ED2AB5">
      <w:pPr>
        <w:pStyle w:val="Body"/>
        <w:jc w:val="both"/>
        <w:rPr>
          <w:rFonts w:cs="Times New Roman"/>
        </w:rPr>
      </w:pPr>
    </w:p>
    <w:p w14:paraId="73F7EA4D" w14:textId="77777777" w:rsidR="007D6626" w:rsidRDefault="007D6626" w:rsidP="00ED2AB5">
      <w:pPr>
        <w:pStyle w:val="Body"/>
        <w:jc w:val="both"/>
        <w:rPr>
          <w:rFonts w:cs="Times New Roman"/>
        </w:rPr>
      </w:pPr>
    </w:p>
    <w:p w14:paraId="414FFE33" w14:textId="77777777" w:rsidR="007D6626" w:rsidRDefault="007D6626" w:rsidP="00ED2AB5">
      <w:pPr>
        <w:pStyle w:val="Body"/>
        <w:jc w:val="both"/>
        <w:rPr>
          <w:rFonts w:cs="Times New Roman"/>
        </w:rPr>
      </w:pPr>
    </w:p>
    <w:p w14:paraId="441683FB" w14:textId="7A5C24DF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 Aavekukk-Tamm 6979 253</w:t>
      </w:r>
    </w:p>
    <w:p w14:paraId="09DF826D" w14:textId="46D214D3" w:rsidR="007C1294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merit.aavekukk-tamm@advokatuur.ee</w:t>
      </w:r>
    </w:p>
    <w:sectPr w:rsidR="007C1294" w:rsidRPr="00ED2AB5" w:rsidSect="009750D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0A37" w14:textId="77777777" w:rsidR="002A2D0B" w:rsidRDefault="002A2D0B" w:rsidP="00F636B5">
      <w:r>
        <w:separator/>
      </w:r>
    </w:p>
  </w:endnote>
  <w:endnote w:type="continuationSeparator" w:id="0">
    <w:p w14:paraId="4350AFA5" w14:textId="77777777" w:rsidR="002A2D0B" w:rsidRDefault="002A2D0B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12264"/>
      <w:docPartObj>
        <w:docPartGallery w:val="Page Numbers (Bottom of Page)"/>
        <w:docPartUnique/>
      </w:docPartObj>
    </w:sdtPr>
    <w:sdtEndPr/>
    <w:sdtContent>
      <w:p w14:paraId="38ED816D" w14:textId="36332E45" w:rsidR="007C5836" w:rsidRDefault="007C5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8C440" w14:textId="77777777" w:rsidR="007C5836" w:rsidRDefault="007C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Footer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Footer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y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Footer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E443" w14:textId="77777777" w:rsidR="002A2D0B" w:rsidRDefault="002A2D0B" w:rsidP="00F636B5">
      <w:r>
        <w:separator/>
      </w:r>
    </w:p>
  </w:footnote>
  <w:footnote w:type="continuationSeparator" w:id="0">
    <w:p w14:paraId="6BDCDF31" w14:textId="77777777" w:rsidR="002A2D0B" w:rsidRDefault="002A2D0B" w:rsidP="00F636B5">
      <w:r>
        <w:continuationSeparator/>
      </w:r>
    </w:p>
  </w:footnote>
  <w:footnote w:id="1">
    <w:p w14:paraId="2468EED8" w14:textId="77777777" w:rsidR="008D2769" w:rsidRPr="008D2769" w:rsidRDefault="00EF4177" w:rsidP="008D27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D2769" w:rsidRPr="008D2769">
        <w:t>Vt J. Palm, J. Suu, Pereettevõtete TOPi võitja kasvatas aastaga kasumit pea 50 miljonit, leitav</w:t>
      </w:r>
    </w:p>
    <w:p w14:paraId="6900DAEA" w14:textId="7AE0D596" w:rsidR="00EF4177" w:rsidRDefault="008D2769" w:rsidP="008D2769">
      <w:pPr>
        <w:pStyle w:val="FootnoteText"/>
      </w:pPr>
      <w:hyperlink r:id="rId1" w:history="1">
        <w:r w:rsidRPr="00487BCB">
          <w:rPr>
            <w:rStyle w:val="Hyperlink"/>
          </w:rPr>
          <w:t>https://www.aripaev.ee/suur-top/2025/08/28/pereettevotete-topi-voitja-kasvatas-aastaga-kasumit-pea-50-miljonit</w:t>
        </w:r>
      </w:hyperlink>
      <w:r>
        <w:t xml:space="preserve"> </w:t>
      </w:r>
    </w:p>
  </w:footnote>
  <w:footnote w:id="2">
    <w:p w14:paraId="1D6F5ADD" w14:textId="76E818A0" w:rsidR="00B058B3" w:rsidRDefault="00DB46E1" w:rsidP="00AA4A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58B3" w:rsidRPr="00B058B3">
        <w:t xml:space="preserve">Vt Töölepingu seadus 299 SE seletuskiri, lk 16: </w:t>
      </w:r>
      <w:hyperlink r:id="rId2" w:history="1">
        <w:r w:rsidR="00AA4A02" w:rsidRPr="00487BCB">
          <w:rPr>
            <w:rStyle w:val="Hyperlink"/>
          </w:rPr>
          <w:t>https://www.riigikogu.ee/tegevus/eelnoud/eelnou/92c984a5-95ab-8584-38cd-05fc754e99c4/</w:t>
        </w:r>
      </w:hyperlink>
      <w:r w:rsidR="00AA4A02">
        <w:t xml:space="preserve"> </w:t>
      </w:r>
    </w:p>
    <w:p w14:paraId="08E07C2D" w14:textId="5BB8016C" w:rsidR="00B058B3" w:rsidRDefault="00B058B3" w:rsidP="00B058B3">
      <w:pPr>
        <w:pStyle w:val="FootnoteText"/>
      </w:pPr>
    </w:p>
    <w:p w14:paraId="19997826" w14:textId="5445CADE" w:rsidR="00DB46E1" w:rsidRDefault="00DB46E1" w:rsidP="00B058B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Header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838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3C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4410C"/>
    <w:multiLevelType w:val="hybridMultilevel"/>
    <w:tmpl w:val="2F727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DC6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5B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F09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737B5"/>
    <w:multiLevelType w:val="hybridMultilevel"/>
    <w:tmpl w:val="EF341C90"/>
    <w:lvl w:ilvl="0" w:tplc="35A2E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402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6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A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29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83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50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A57918"/>
    <w:multiLevelType w:val="multilevel"/>
    <w:tmpl w:val="E156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713AF7"/>
    <w:multiLevelType w:val="hybridMultilevel"/>
    <w:tmpl w:val="912005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E5118"/>
    <w:multiLevelType w:val="hybridMultilevel"/>
    <w:tmpl w:val="EB885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97220"/>
    <w:multiLevelType w:val="hybridMultilevel"/>
    <w:tmpl w:val="EAF8F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7F0E"/>
    <w:multiLevelType w:val="multilevel"/>
    <w:tmpl w:val="9B80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BC58E4"/>
    <w:multiLevelType w:val="hybridMultilevel"/>
    <w:tmpl w:val="C74416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1178"/>
    <w:multiLevelType w:val="hybridMultilevel"/>
    <w:tmpl w:val="D88E7050"/>
    <w:lvl w:ilvl="0" w:tplc="3D623D96">
      <w:start w:val="1"/>
      <w:numFmt w:val="decimal"/>
      <w:lvlText w:val="%1."/>
      <w:lvlJc w:val="left"/>
      <w:pPr>
        <w:ind w:left="10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0C7E54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A51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E0C5C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48DD98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077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7E0A4E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2534C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C580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B86F04"/>
    <w:multiLevelType w:val="hybridMultilevel"/>
    <w:tmpl w:val="9034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3438E"/>
    <w:multiLevelType w:val="hybridMultilevel"/>
    <w:tmpl w:val="7B5AAF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078DC"/>
    <w:multiLevelType w:val="hybridMultilevel"/>
    <w:tmpl w:val="AFC6C78C"/>
    <w:lvl w:ilvl="0" w:tplc="E670E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4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65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C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F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8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86B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6A5130"/>
    <w:multiLevelType w:val="multilevel"/>
    <w:tmpl w:val="BEB0EC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45B4D51"/>
    <w:multiLevelType w:val="hybridMultilevel"/>
    <w:tmpl w:val="B60C7EA0"/>
    <w:lvl w:ilvl="0" w:tplc="0425001B">
      <w:start w:val="1"/>
      <w:numFmt w:val="lowerRoman"/>
      <w:lvlText w:val="%1."/>
      <w:lvlJc w:val="right"/>
      <w:pPr>
        <w:ind w:left="1440" w:hanging="360"/>
      </w:p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90181C"/>
    <w:multiLevelType w:val="hybridMultilevel"/>
    <w:tmpl w:val="5E7AD7B0"/>
    <w:lvl w:ilvl="0" w:tplc="1CBE07E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E4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B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4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04C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B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5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44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2527D"/>
    <w:multiLevelType w:val="hybridMultilevel"/>
    <w:tmpl w:val="B6822D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F2A11"/>
    <w:multiLevelType w:val="hybridMultilevel"/>
    <w:tmpl w:val="6DE0B7A4"/>
    <w:lvl w:ilvl="0" w:tplc="CE82F780">
      <w:start w:val="2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4CC14B0"/>
    <w:multiLevelType w:val="hybridMultilevel"/>
    <w:tmpl w:val="C9F2CB8C"/>
    <w:lvl w:ilvl="0" w:tplc="4DA4E1C4">
      <w:start w:val="1"/>
      <w:numFmt w:val="decimal"/>
      <w:lvlText w:val="%1."/>
      <w:lvlJc w:val="left"/>
      <w:pPr>
        <w:ind w:left="107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256CA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432E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E4B9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67DE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A430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84B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42CE1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0BE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F513B2"/>
    <w:multiLevelType w:val="hybridMultilevel"/>
    <w:tmpl w:val="F5A0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43189"/>
    <w:multiLevelType w:val="hybridMultilevel"/>
    <w:tmpl w:val="FF3656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8504">
    <w:abstractNumId w:val="11"/>
  </w:num>
  <w:num w:numId="2" w16cid:durableId="1646662979">
    <w:abstractNumId w:val="6"/>
  </w:num>
  <w:num w:numId="3" w16cid:durableId="670370934">
    <w:abstractNumId w:val="14"/>
  </w:num>
  <w:num w:numId="4" w16cid:durableId="268205002">
    <w:abstractNumId w:val="23"/>
  </w:num>
  <w:num w:numId="5" w16cid:durableId="110756145">
    <w:abstractNumId w:val="20"/>
  </w:num>
  <w:num w:numId="6" w16cid:durableId="1722634604">
    <w:abstractNumId w:val="17"/>
  </w:num>
  <w:num w:numId="7" w16cid:durableId="1745568620">
    <w:abstractNumId w:val="21"/>
  </w:num>
  <w:num w:numId="8" w16cid:durableId="771054327">
    <w:abstractNumId w:val="10"/>
  </w:num>
  <w:num w:numId="9" w16cid:durableId="1872759664">
    <w:abstractNumId w:val="2"/>
  </w:num>
  <w:num w:numId="10" w16cid:durableId="1765034429">
    <w:abstractNumId w:val="3"/>
  </w:num>
  <w:num w:numId="11" w16cid:durableId="591282471">
    <w:abstractNumId w:val="1"/>
  </w:num>
  <w:num w:numId="12" w16cid:durableId="884296191">
    <w:abstractNumId w:val="5"/>
  </w:num>
  <w:num w:numId="13" w16cid:durableId="1870948225">
    <w:abstractNumId w:val="4"/>
  </w:num>
  <w:num w:numId="14" w16cid:durableId="156192076">
    <w:abstractNumId w:val="0"/>
  </w:num>
  <w:num w:numId="15" w16cid:durableId="1410614471">
    <w:abstractNumId w:val="13"/>
  </w:num>
  <w:num w:numId="16" w16cid:durableId="1725255570">
    <w:abstractNumId w:val="15"/>
  </w:num>
  <w:num w:numId="17" w16cid:durableId="1052652794">
    <w:abstractNumId w:val="9"/>
  </w:num>
  <w:num w:numId="18" w16cid:durableId="21377925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269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2154259">
    <w:abstractNumId w:val="12"/>
  </w:num>
  <w:num w:numId="21" w16cid:durableId="1557474966">
    <w:abstractNumId w:val="19"/>
  </w:num>
  <w:num w:numId="22" w16cid:durableId="836916839">
    <w:abstractNumId w:val="22"/>
  </w:num>
  <w:num w:numId="23" w16cid:durableId="1644386853">
    <w:abstractNumId w:val="25"/>
  </w:num>
  <w:num w:numId="24" w16cid:durableId="1574513448">
    <w:abstractNumId w:val="18"/>
  </w:num>
  <w:num w:numId="25" w16cid:durableId="403914482">
    <w:abstractNumId w:val="8"/>
  </w:num>
  <w:num w:numId="26" w16cid:durableId="1827355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103A0"/>
    <w:rsid w:val="00013EA5"/>
    <w:rsid w:val="00016530"/>
    <w:rsid w:val="00017824"/>
    <w:rsid w:val="00020876"/>
    <w:rsid w:val="00023C71"/>
    <w:rsid w:val="00027120"/>
    <w:rsid w:val="000303B7"/>
    <w:rsid w:val="00030C84"/>
    <w:rsid w:val="00034835"/>
    <w:rsid w:val="000359CD"/>
    <w:rsid w:val="00044487"/>
    <w:rsid w:val="00055AD5"/>
    <w:rsid w:val="00055BB1"/>
    <w:rsid w:val="00056711"/>
    <w:rsid w:val="000724B6"/>
    <w:rsid w:val="00072BBE"/>
    <w:rsid w:val="0007513D"/>
    <w:rsid w:val="00081B6C"/>
    <w:rsid w:val="00082DDA"/>
    <w:rsid w:val="00084202"/>
    <w:rsid w:val="00093B41"/>
    <w:rsid w:val="00095AD0"/>
    <w:rsid w:val="00096371"/>
    <w:rsid w:val="000B3492"/>
    <w:rsid w:val="000B7AD8"/>
    <w:rsid w:val="000C07F6"/>
    <w:rsid w:val="000C0A09"/>
    <w:rsid w:val="000C43DB"/>
    <w:rsid w:val="000C54F1"/>
    <w:rsid w:val="000C75B3"/>
    <w:rsid w:val="000D0A80"/>
    <w:rsid w:val="000D6865"/>
    <w:rsid w:val="000E2E3A"/>
    <w:rsid w:val="000F38C2"/>
    <w:rsid w:val="00100DF4"/>
    <w:rsid w:val="0010575C"/>
    <w:rsid w:val="00105B86"/>
    <w:rsid w:val="001162A8"/>
    <w:rsid w:val="00117B0A"/>
    <w:rsid w:val="00127DA3"/>
    <w:rsid w:val="00130A2F"/>
    <w:rsid w:val="00137BFA"/>
    <w:rsid w:val="001427DB"/>
    <w:rsid w:val="00151F19"/>
    <w:rsid w:val="001532C7"/>
    <w:rsid w:val="00157553"/>
    <w:rsid w:val="0016031A"/>
    <w:rsid w:val="001628A5"/>
    <w:rsid w:val="00167D51"/>
    <w:rsid w:val="00181B2F"/>
    <w:rsid w:val="0019780D"/>
    <w:rsid w:val="001B0802"/>
    <w:rsid w:val="001B2AF8"/>
    <w:rsid w:val="001C5387"/>
    <w:rsid w:val="001D024A"/>
    <w:rsid w:val="001D1053"/>
    <w:rsid w:val="001D11DB"/>
    <w:rsid w:val="001D2128"/>
    <w:rsid w:val="001D45C2"/>
    <w:rsid w:val="001D4848"/>
    <w:rsid w:val="001D520B"/>
    <w:rsid w:val="001E09FD"/>
    <w:rsid w:val="001E38F4"/>
    <w:rsid w:val="001F434A"/>
    <w:rsid w:val="002055A5"/>
    <w:rsid w:val="00206ABF"/>
    <w:rsid w:val="002165B6"/>
    <w:rsid w:val="002224CB"/>
    <w:rsid w:val="002244F5"/>
    <w:rsid w:val="00230D75"/>
    <w:rsid w:val="002354B3"/>
    <w:rsid w:val="0023555C"/>
    <w:rsid w:val="00235B89"/>
    <w:rsid w:val="00240D3C"/>
    <w:rsid w:val="0024366C"/>
    <w:rsid w:val="002455B0"/>
    <w:rsid w:val="0025512D"/>
    <w:rsid w:val="00256769"/>
    <w:rsid w:val="002845FB"/>
    <w:rsid w:val="00287682"/>
    <w:rsid w:val="002A190D"/>
    <w:rsid w:val="002A2D0B"/>
    <w:rsid w:val="002B4FCA"/>
    <w:rsid w:val="002B6937"/>
    <w:rsid w:val="002B6A92"/>
    <w:rsid w:val="002C2B55"/>
    <w:rsid w:val="002C69AA"/>
    <w:rsid w:val="002C7008"/>
    <w:rsid w:val="002C7FDA"/>
    <w:rsid w:val="002D3C37"/>
    <w:rsid w:val="002D54FF"/>
    <w:rsid w:val="002E39A0"/>
    <w:rsid w:val="002F0392"/>
    <w:rsid w:val="00303698"/>
    <w:rsid w:val="0030610A"/>
    <w:rsid w:val="00315CFF"/>
    <w:rsid w:val="00315D7C"/>
    <w:rsid w:val="00316F56"/>
    <w:rsid w:val="0032691A"/>
    <w:rsid w:val="00332266"/>
    <w:rsid w:val="003369BE"/>
    <w:rsid w:val="00337ACF"/>
    <w:rsid w:val="00351797"/>
    <w:rsid w:val="00353D2A"/>
    <w:rsid w:val="003571DF"/>
    <w:rsid w:val="003642F2"/>
    <w:rsid w:val="003650B8"/>
    <w:rsid w:val="00367C28"/>
    <w:rsid w:val="00372D64"/>
    <w:rsid w:val="00375300"/>
    <w:rsid w:val="00391662"/>
    <w:rsid w:val="003A79EC"/>
    <w:rsid w:val="003B32BC"/>
    <w:rsid w:val="003B4D33"/>
    <w:rsid w:val="003B5DB0"/>
    <w:rsid w:val="003B711F"/>
    <w:rsid w:val="003C183F"/>
    <w:rsid w:val="003C510E"/>
    <w:rsid w:val="003C547C"/>
    <w:rsid w:val="003C70F9"/>
    <w:rsid w:val="003D4306"/>
    <w:rsid w:val="003D7DFB"/>
    <w:rsid w:val="003E0F02"/>
    <w:rsid w:val="003F2C57"/>
    <w:rsid w:val="003F3223"/>
    <w:rsid w:val="003F55D3"/>
    <w:rsid w:val="003F571A"/>
    <w:rsid w:val="003F69CE"/>
    <w:rsid w:val="003F74EE"/>
    <w:rsid w:val="003F7EBA"/>
    <w:rsid w:val="00400F19"/>
    <w:rsid w:val="00403D0B"/>
    <w:rsid w:val="00422EA6"/>
    <w:rsid w:val="00425450"/>
    <w:rsid w:val="00435FCE"/>
    <w:rsid w:val="00437F27"/>
    <w:rsid w:val="004424E8"/>
    <w:rsid w:val="0044481E"/>
    <w:rsid w:val="00450C77"/>
    <w:rsid w:val="0046030F"/>
    <w:rsid w:val="00460748"/>
    <w:rsid w:val="00462FCF"/>
    <w:rsid w:val="00467C99"/>
    <w:rsid w:val="00475843"/>
    <w:rsid w:val="0047781E"/>
    <w:rsid w:val="00482399"/>
    <w:rsid w:val="00482DDD"/>
    <w:rsid w:val="00486117"/>
    <w:rsid w:val="004946FF"/>
    <w:rsid w:val="004A43BD"/>
    <w:rsid w:val="004A73F3"/>
    <w:rsid w:val="004B6958"/>
    <w:rsid w:val="004B70A9"/>
    <w:rsid w:val="004C71E1"/>
    <w:rsid w:val="004D2E83"/>
    <w:rsid w:val="004D7194"/>
    <w:rsid w:val="004E071F"/>
    <w:rsid w:val="004E10DF"/>
    <w:rsid w:val="004E2A8E"/>
    <w:rsid w:val="004F17D0"/>
    <w:rsid w:val="004F2604"/>
    <w:rsid w:val="004F4B91"/>
    <w:rsid w:val="0050345A"/>
    <w:rsid w:val="00511B58"/>
    <w:rsid w:val="005153AE"/>
    <w:rsid w:val="00530D4D"/>
    <w:rsid w:val="005414E4"/>
    <w:rsid w:val="0056018A"/>
    <w:rsid w:val="005613ED"/>
    <w:rsid w:val="00561FA5"/>
    <w:rsid w:val="00565B34"/>
    <w:rsid w:val="00566C9C"/>
    <w:rsid w:val="00571C6B"/>
    <w:rsid w:val="00575345"/>
    <w:rsid w:val="00575FFF"/>
    <w:rsid w:val="00592D13"/>
    <w:rsid w:val="005A3081"/>
    <w:rsid w:val="005A5FFA"/>
    <w:rsid w:val="005A7619"/>
    <w:rsid w:val="005A7A00"/>
    <w:rsid w:val="005B0099"/>
    <w:rsid w:val="005B4781"/>
    <w:rsid w:val="005B7535"/>
    <w:rsid w:val="005C0440"/>
    <w:rsid w:val="005C41BE"/>
    <w:rsid w:val="005C7FFD"/>
    <w:rsid w:val="005D55D8"/>
    <w:rsid w:val="005E18E1"/>
    <w:rsid w:val="005E22C8"/>
    <w:rsid w:val="005E310E"/>
    <w:rsid w:val="005F0EEC"/>
    <w:rsid w:val="0060121B"/>
    <w:rsid w:val="006021FB"/>
    <w:rsid w:val="00611135"/>
    <w:rsid w:val="00612C73"/>
    <w:rsid w:val="00612C7D"/>
    <w:rsid w:val="00616733"/>
    <w:rsid w:val="00617F5F"/>
    <w:rsid w:val="00625756"/>
    <w:rsid w:val="00642DF8"/>
    <w:rsid w:val="00647B61"/>
    <w:rsid w:val="00647D91"/>
    <w:rsid w:val="006510A1"/>
    <w:rsid w:val="00664190"/>
    <w:rsid w:val="00665C8B"/>
    <w:rsid w:val="00677494"/>
    <w:rsid w:val="00680B8C"/>
    <w:rsid w:val="006827BD"/>
    <w:rsid w:val="0068285F"/>
    <w:rsid w:val="00684C55"/>
    <w:rsid w:val="006861B0"/>
    <w:rsid w:val="0069284C"/>
    <w:rsid w:val="006931E2"/>
    <w:rsid w:val="00693738"/>
    <w:rsid w:val="00695EE1"/>
    <w:rsid w:val="0069797C"/>
    <w:rsid w:val="006A3E82"/>
    <w:rsid w:val="006B3029"/>
    <w:rsid w:val="006B4427"/>
    <w:rsid w:val="006B5B2D"/>
    <w:rsid w:val="006C18AB"/>
    <w:rsid w:val="006C3C01"/>
    <w:rsid w:val="006E1744"/>
    <w:rsid w:val="006E1D12"/>
    <w:rsid w:val="006E36A8"/>
    <w:rsid w:val="006F33C4"/>
    <w:rsid w:val="006F4144"/>
    <w:rsid w:val="006F6D08"/>
    <w:rsid w:val="00700345"/>
    <w:rsid w:val="00713E28"/>
    <w:rsid w:val="00723080"/>
    <w:rsid w:val="007268E8"/>
    <w:rsid w:val="007349E9"/>
    <w:rsid w:val="007355C2"/>
    <w:rsid w:val="00736EC4"/>
    <w:rsid w:val="00750855"/>
    <w:rsid w:val="00752DFB"/>
    <w:rsid w:val="00764C0D"/>
    <w:rsid w:val="007725F2"/>
    <w:rsid w:val="007763E8"/>
    <w:rsid w:val="00781F8F"/>
    <w:rsid w:val="00784168"/>
    <w:rsid w:val="007859C1"/>
    <w:rsid w:val="00785B94"/>
    <w:rsid w:val="0078736E"/>
    <w:rsid w:val="00796DCE"/>
    <w:rsid w:val="00796FF9"/>
    <w:rsid w:val="007A0F9F"/>
    <w:rsid w:val="007A3458"/>
    <w:rsid w:val="007A3894"/>
    <w:rsid w:val="007B03AA"/>
    <w:rsid w:val="007B0A1F"/>
    <w:rsid w:val="007B6251"/>
    <w:rsid w:val="007C1294"/>
    <w:rsid w:val="007C5836"/>
    <w:rsid w:val="007C5AF3"/>
    <w:rsid w:val="007D10DB"/>
    <w:rsid w:val="007D6626"/>
    <w:rsid w:val="007D6DD1"/>
    <w:rsid w:val="007E1CAB"/>
    <w:rsid w:val="007E2F93"/>
    <w:rsid w:val="007E3CF7"/>
    <w:rsid w:val="007E499C"/>
    <w:rsid w:val="007E4F91"/>
    <w:rsid w:val="007E5289"/>
    <w:rsid w:val="007F2DCD"/>
    <w:rsid w:val="007F358E"/>
    <w:rsid w:val="007F430A"/>
    <w:rsid w:val="00803FC5"/>
    <w:rsid w:val="00804E78"/>
    <w:rsid w:val="00805181"/>
    <w:rsid w:val="008070CC"/>
    <w:rsid w:val="00812701"/>
    <w:rsid w:val="00813B73"/>
    <w:rsid w:val="00815538"/>
    <w:rsid w:val="00823390"/>
    <w:rsid w:val="008243B7"/>
    <w:rsid w:val="008245D7"/>
    <w:rsid w:val="0083259A"/>
    <w:rsid w:val="00834F46"/>
    <w:rsid w:val="0083607D"/>
    <w:rsid w:val="00843131"/>
    <w:rsid w:val="00846AF8"/>
    <w:rsid w:val="008509E3"/>
    <w:rsid w:val="00851BD3"/>
    <w:rsid w:val="00856C34"/>
    <w:rsid w:val="0086235E"/>
    <w:rsid w:val="00864014"/>
    <w:rsid w:val="00865EE7"/>
    <w:rsid w:val="0086607C"/>
    <w:rsid w:val="00872B7C"/>
    <w:rsid w:val="0088474E"/>
    <w:rsid w:val="00887F56"/>
    <w:rsid w:val="00890502"/>
    <w:rsid w:val="00892E65"/>
    <w:rsid w:val="0089508E"/>
    <w:rsid w:val="00895A4E"/>
    <w:rsid w:val="00895C67"/>
    <w:rsid w:val="008960C2"/>
    <w:rsid w:val="008A0D41"/>
    <w:rsid w:val="008A5914"/>
    <w:rsid w:val="008A5CBE"/>
    <w:rsid w:val="008B1601"/>
    <w:rsid w:val="008B3A07"/>
    <w:rsid w:val="008B3EC3"/>
    <w:rsid w:val="008B4C05"/>
    <w:rsid w:val="008B5BD0"/>
    <w:rsid w:val="008B7034"/>
    <w:rsid w:val="008C1863"/>
    <w:rsid w:val="008C50FC"/>
    <w:rsid w:val="008D2769"/>
    <w:rsid w:val="008E0E41"/>
    <w:rsid w:val="008E72EF"/>
    <w:rsid w:val="008F43AC"/>
    <w:rsid w:val="009022FA"/>
    <w:rsid w:val="00902B1D"/>
    <w:rsid w:val="00910375"/>
    <w:rsid w:val="00914A43"/>
    <w:rsid w:val="0091669D"/>
    <w:rsid w:val="009173C9"/>
    <w:rsid w:val="0092426E"/>
    <w:rsid w:val="009318BB"/>
    <w:rsid w:val="00936CA5"/>
    <w:rsid w:val="0094334B"/>
    <w:rsid w:val="009435D0"/>
    <w:rsid w:val="00945EEA"/>
    <w:rsid w:val="0095750D"/>
    <w:rsid w:val="00961AC5"/>
    <w:rsid w:val="00970944"/>
    <w:rsid w:val="00971A2E"/>
    <w:rsid w:val="00974D36"/>
    <w:rsid w:val="009750DC"/>
    <w:rsid w:val="00975C75"/>
    <w:rsid w:val="009761BC"/>
    <w:rsid w:val="00977C16"/>
    <w:rsid w:val="009911BD"/>
    <w:rsid w:val="009941E7"/>
    <w:rsid w:val="00995853"/>
    <w:rsid w:val="009975BC"/>
    <w:rsid w:val="009B139B"/>
    <w:rsid w:val="009B3C33"/>
    <w:rsid w:val="009C6D78"/>
    <w:rsid w:val="009C705F"/>
    <w:rsid w:val="009D1490"/>
    <w:rsid w:val="009D15C9"/>
    <w:rsid w:val="009D60B9"/>
    <w:rsid w:val="009D6272"/>
    <w:rsid w:val="009E40E3"/>
    <w:rsid w:val="009E4B65"/>
    <w:rsid w:val="009E78AD"/>
    <w:rsid w:val="009F2DE9"/>
    <w:rsid w:val="009F2FAE"/>
    <w:rsid w:val="009F625B"/>
    <w:rsid w:val="00A049A6"/>
    <w:rsid w:val="00A077CA"/>
    <w:rsid w:val="00A14D0B"/>
    <w:rsid w:val="00A15A9F"/>
    <w:rsid w:val="00A17313"/>
    <w:rsid w:val="00A207C3"/>
    <w:rsid w:val="00A21E05"/>
    <w:rsid w:val="00A326D2"/>
    <w:rsid w:val="00A420BD"/>
    <w:rsid w:val="00A425EF"/>
    <w:rsid w:val="00A43C45"/>
    <w:rsid w:val="00A44914"/>
    <w:rsid w:val="00A56D65"/>
    <w:rsid w:val="00A657C0"/>
    <w:rsid w:val="00A65DD0"/>
    <w:rsid w:val="00A72B3E"/>
    <w:rsid w:val="00A73F99"/>
    <w:rsid w:val="00A80087"/>
    <w:rsid w:val="00A8305F"/>
    <w:rsid w:val="00A92B30"/>
    <w:rsid w:val="00AA4A02"/>
    <w:rsid w:val="00AA5CF4"/>
    <w:rsid w:val="00AB5008"/>
    <w:rsid w:val="00AC1BA8"/>
    <w:rsid w:val="00AD118E"/>
    <w:rsid w:val="00AD327C"/>
    <w:rsid w:val="00AD4905"/>
    <w:rsid w:val="00AD533F"/>
    <w:rsid w:val="00AE36CD"/>
    <w:rsid w:val="00AF100C"/>
    <w:rsid w:val="00AF16A7"/>
    <w:rsid w:val="00AF2479"/>
    <w:rsid w:val="00AF7ACE"/>
    <w:rsid w:val="00B013AE"/>
    <w:rsid w:val="00B01460"/>
    <w:rsid w:val="00B0396F"/>
    <w:rsid w:val="00B04B82"/>
    <w:rsid w:val="00B058B3"/>
    <w:rsid w:val="00B20A38"/>
    <w:rsid w:val="00B248A7"/>
    <w:rsid w:val="00B314A7"/>
    <w:rsid w:val="00B34611"/>
    <w:rsid w:val="00B538DC"/>
    <w:rsid w:val="00B607BC"/>
    <w:rsid w:val="00B6633E"/>
    <w:rsid w:val="00B66343"/>
    <w:rsid w:val="00B81C29"/>
    <w:rsid w:val="00B90D5B"/>
    <w:rsid w:val="00B97394"/>
    <w:rsid w:val="00BA5B4E"/>
    <w:rsid w:val="00BB1263"/>
    <w:rsid w:val="00BB5046"/>
    <w:rsid w:val="00BB728C"/>
    <w:rsid w:val="00BD0D8C"/>
    <w:rsid w:val="00BD4274"/>
    <w:rsid w:val="00BD536A"/>
    <w:rsid w:val="00BE0B9A"/>
    <w:rsid w:val="00BE7258"/>
    <w:rsid w:val="00BF30CA"/>
    <w:rsid w:val="00BF721C"/>
    <w:rsid w:val="00C15046"/>
    <w:rsid w:val="00C24AC2"/>
    <w:rsid w:val="00C35CDA"/>
    <w:rsid w:val="00C373DE"/>
    <w:rsid w:val="00C379DE"/>
    <w:rsid w:val="00C37E43"/>
    <w:rsid w:val="00C67B63"/>
    <w:rsid w:val="00C708D6"/>
    <w:rsid w:val="00C76780"/>
    <w:rsid w:val="00C820C9"/>
    <w:rsid w:val="00C83BE3"/>
    <w:rsid w:val="00C879C5"/>
    <w:rsid w:val="00C87C5D"/>
    <w:rsid w:val="00C91756"/>
    <w:rsid w:val="00CA0090"/>
    <w:rsid w:val="00CB0722"/>
    <w:rsid w:val="00CB0AD3"/>
    <w:rsid w:val="00CC0F5C"/>
    <w:rsid w:val="00CC43F5"/>
    <w:rsid w:val="00CD1613"/>
    <w:rsid w:val="00CD2B7F"/>
    <w:rsid w:val="00CD3C55"/>
    <w:rsid w:val="00CE0179"/>
    <w:rsid w:val="00CE4A41"/>
    <w:rsid w:val="00CE5AFD"/>
    <w:rsid w:val="00CE68E2"/>
    <w:rsid w:val="00CF13D5"/>
    <w:rsid w:val="00CF392C"/>
    <w:rsid w:val="00CF7154"/>
    <w:rsid w:val="00D01CD1"/>
    <w:rsid w:val="00D02F88"/>
    <w:rsid w:val="00D03BB3"/>
    <w:rsid w:val="00D06765"/>
    <w:rsid w:val="00D117E9"/>
    <w:rsid w:val="00D202CB"/>
    <w:rsid w:val="00D242B8"/>
    <w:rsid w:val="00D301D0"/>
    <w:rsid w:val="00D31A7E"/>
    <w:rsid w:val="00D31DD9"/>
    <w:rsid w:val="00D41A07"/>
    <w:rsid w:val="00D46C4E"/>
    <w:rsid w:val="00D475A1"/>
    <w:rsid w:val="00D50661"/>
    <w:rsid w:val="00D50ACD"/>
    <w:rsid w:val="00D54035"/>
    <w:rsid w:val="00D663B1"/>
    <w:rsid w:val="00D700F4"/>
    <w:rsid w:val="00D70C08"/>
    <w:rsid w:val="00D72C6F"/>
    <w:rsid w:val="00D74D00"/>
    <w:rsid w:val="00D7596B"/>
    <w:rsid w:val="00D810C3"/>
    <w:rsid w:val="00D85DC5"/>
    <w:rsid w:val="00D9321E"/>
    <w:rsid w:val="00D94809"/>
    <w:rsid w:val="00D94E7F"/>
    <w:rsid w:val="00DB46E1"/>
    <w:rsid w:val="00DB488B"/>
    <w:rsid w:val="00DC1128"/>
    <w:rsid w:val="00DD1165"/>
    <w:rsid w:val="00DD6510"/>
    <w:rsid w:val="00DF2053"/>
    <w:rsid w:val="00DF3837"/>
    <w:rsid w:val="00E017B8"/>
    <w:rsid w:val="00E019EA"/>
    <w:rsid w:val="00E14A43"/>
    <w:rsid w:val="00E16432"/>
    <w:rsid w:val="00E17F60"/>
    <w:rsid w:val="00E21700"/>
    <w:rsid w:val="00E235BE"/>
    <w:rsid w:val="00E3299C"/>
    <w:rsid w:val="00E35FB3"/>
    <w:rsid w:val="00E368FC"/>
    <w:rsid w:val="00E518BD"/>
    <w:rsid w:val="00E54AE3"/>
    <w:rsid w:val="00E632DC"/>
    <w:rsid w:val="00E754D0"/>
    <w:rsid w:val="00E75559"/>
    <w:rsid w:val="00E76BE8"/>
    <w:rsid w:val="00E7702D"/>
    <w:rsid w:val="00E829D2"/>
    <w:rsid w:val="00E84DA0"/>
    <w:rsid w:val="00E93FE0"/>
    <w:rsid w:val="00E94DE5"/>
    <w:rsid w:val="00E95429"/>
    <w:rsid w:val="00E9706B"/>
    <w:rsid w:val="00EA6561"/>
    <w:rsid w:val="00EB458C"/>
    <w:rsid w:val="00EC75B0"/>
    <w:rsid w:val="00ED1118"/>
    <w:rsid w:val="00ED2AB5"/>
    <w:rsid w:val="00ED54C4"/>
    <w:rsid w:val="00EE5895"/>
    <w:rsid w:val="00EF0D9F"/>
    <w:rsid w:val="00EF4177"/>
    <w:rsid w:val="00F01A0F"/>
    <w:rsid w:val="00F03C0C"/>
    <w:rsid w:val="00F153A3"/>
    <w:rsid w:val="00F17C88"/>
    <w:rsid w:val="00F37DE7"/>
    <w:rsid w:val="00F40E0E"/>
    <w:rsid w:val="00F44D85"/>
    <w:rsid w:val="00F45B66"/>
    <w:rsid w:val="00F60DA1"/>
    <w:rsid w:val="00F618F3"/>
    <w:rsid w:val="00F61A5B"/>
    <w:rsid w:val="00F636B5"/>
    <w:rsid w:val="00F667DF"/>
    <w:rsid w:val="00F7171E"/>
    <w:rsid w:val="00F730D5"/>
    <w:rsid w:val="00F7685D"/>
    <w:rsid w:val="00F77979"/>
    <w:rsid w:val="00F81A69"/>
    <w:rsid w:val="00F83CEF"/>
    <w:rsid w:val="00F93C68"/>
    <w:rsid w:val="00FA1AC9"/>
    <w:rsid w:val="00FB5489"/>
    <w:rsid w:val="00FB6D1B"/>
    <w:rsid w:val="00FC5EBB"/>
    <w:rsid w:val="00FD1755"/>
    <w:rsid w:val="00FD1CD5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780D"/>
    <w:pPr>
      <w:keepNext/>
      <w:keepLines/>
      <w:spacing w:after="13" w:line="24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19780D"/>
    <w:pPr>
      <w:keepNext/>
      <w:keepLines/>
      <w:spacing w:after="13" w:line="249" w:lineRule="auto"/>
      <w:ind w:left="18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6B5"/>
  </w:style>
  <w:style w:type="paragraph" w:styleId="Footer">
    <w:name w:val="footer"/>
    <w:basedOn w:val="Normal"/>
    <w:link w:val="FooterChar"/>
    <w:uiPriority w:val="99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36B5"/>
  </w:style>
  <w:style w:type="paragraph" w:styleId="BalloonText">
    <w:name w:val="Balloon Text"/>
    <w:basedOn w:val="Normal"/>
    <w:link w:val="BalloonTextChar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y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DefaultParagraph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B03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2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customStyle="1" w:styleId="Body">
    <w:name w:val="Body"/>
    <w:rsid w:val="001978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description">
    <w:name w:val="footnote description"/>
    <w:next w:val="Normal"/>
    <w:link w:val="footnotedescriptionChar"/>
    <w:hidden/>
    <w:rsid w:val="0019780D"/>
    <w:pPr>
      <w:spacing w:after="0" w:line="239" w:lineRule="auto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descriptionChar">
    <w:name w:val="footnote description Char"/>
    <w:link w:val="footnotedescription"/>
    <w:rsid w:val="0019780D"/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mark">
    <w:name w:val="footnote mark"/>
    <w:hidden/>
    <w:rsid w:val="0019780D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A30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A3081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nhideWhenUsed/>
    <w:rsid w:val="005A3081"/>
    <w:rPr>
      <w:vertAlign w:val="superscript"/>
    </w:rPr>
  </w:style>
  <w:style w:type="character" w:customStyle="1" w:styleId="Allmrkusetekst1">
    <w:name w:val="Allmärkuse tekst1"/>
    <w:qFormat/>
    <w:rsid w:val="00A15A9F"/>
  </w:style>
  <w:style w:type="paragraph" w:styleId="Revision">
    <w:name w:val="Revision"/>
    <w:hidden/>
    <w:uiPriority w:val="99"/>
    <w:semiHidden/>
    <w:rsid w:val="006F6D08"/>
    <w:pPr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igikogu.ee/tegevus/eelnoud/eelnou/92c984a5-95ab-8584-38cd-05fc754e99c4/" TargetMode="External"/><Relationship Id="rId1" Type="http://schemas.openxmlformats.org/officeDocument/2006/relationships/hyperlink" Target="https://www.aripaev.ee/suur-top/2025/08/28/pereettevotete-topi-voitja-kasvatas-aastaga-kasumit-pea-50-miljon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1475</Words>
  <Characters>8557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Svea Žurba</dc:creator>
  <cp:lastModifiedBy>Merit Aavekukk-Tamm</cp:lastModifiedBy>
  <cp:revision>9</cp:revision>
  <cp:lastPrinted>2024-09-26T08:29:00Z</cp:lastPrinted>
  <dcterms:created xsi:type="dcterms:W3CDTF">2026-03-26T10:20:00Z</dcterms:created>
  <dcterms:modified xsi:type="dcterms:W3CDTF">2026-04-01T07:00:00Z</dcterms:modified>
</cp:coreProperties>
</file>